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mi20260630_10q.htm"/>
      <w:bookmarkStart w:id="1" w:name="ksbcmi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 xml:space="preserve">QUARTERLY REPORT PURSUANT TO SECTION 13 OR 15(d) OF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r>
        <w:rPr>
          <w:rFonts w:ascii="Times New Roman" w:hAnsi="Times New Roman"/>
          <w:b/>
          <w:caps w:val="false"/>
          <w:smallCaps w:val="false"/>
          <w:sz w:val="20"/>
        </w:rPr>
        <w:t>: 001-32171</w:t>
      </w:r>
    </w:p>
    <w:p>
      <w:pPr>
        <w:pStyle w:val="TextBody"/>
        <w:bidi w:val="0"/>
        <w:spacing w:before="0" w:after="0"/>
        <w:ind w:left="0" w:right="0" w:hanging="0"/>
        <w:jc w:val="left"/>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20002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485775"/>
                          </a:xfrm>
                          <a:prstGeom prst="rect">
                            <a:avLst/>
                          </a:prstGeom>
                        </pic:spPr>
                      </pic:pic>
                    </a:graphicData>
                  </a:graphic>
                </wp:inline>
              </w:drawing>
            </w:r>
          </w:p>
        </w:tc>
      </w:tr>
      <w:tr>
        <w:trPr/>
        <w:tc>
          <w:tcPr>
            <w:tcW w:w="5270" w:type="dxa"/>
            <w:tcBorders/>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Bimini Capital Management, Inc. </w:t>
            </w:r>
          </w:p>
        </w:tc>
      </w:tr>
      <w:tr>
        <w:trPr/>
        <w:tc>
          <w:tcPr>
            <w:tcW w:w="52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Maryland</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72-1571637</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3305 Flamingo Drive, Vero Beach, Florida 32963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(772) 231-1400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820"/>
        <w:gridCol w:w="29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3410"/>
        <w:gridCol w:w="2000"/>
        <w:gridCol w:w="1685"/>
      </w:tblGrid>
      <w:tr>
        <w:trPr/>
        <w:tc>
          <w:tcPr>
            <w:tcW w:w="3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Title of each Class</w:t>
            </w:r>
          </w:p>
        </w:tc>
        <w:tc>
          <w:tcPr>
            <w:tcW w:w="20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Latest Practicable Date</w:t>
            </w:r>
          </w:p>
        </w:tc>
        <w:tc>
          <w:tcPr>
            <w:tcW w:w="16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Shares Outstanding</w:t>
            </w:r>
          </w:p>
        </w:tc>
      </w:tr>
      <w:tr>
        <w:trPr/>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Stock, $0.001 par value</w:t>
            </w:r>
          </w:p>
        </w:tc>
        <w:tc>
          <w:tcPr>
            <w:tcW w:w="20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6, 2026</w:t>
            </w:r>
          </w:p>
        </w:tc>
        <w:tc>
          <w:tcPr>
            <w:tcW w:w="16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9,988,272</w:t>
            </w:r>
          </w:p>
        </w:tc>
      </w:tr>
      <w:tr>
        <w:trPr/>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Stock, $0.001 par value</w:t>
            </w:r>
          </w:p>
        </w:tc>
        <w:tc>
          <w:tcPr>
            <w:tcW w:w="20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6, 2026</w:t>
            </w:r>
          </w:p>
        </w:tc>
        <w:tc>
          <w:tcPr>
            <w:tcW w:w="16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31,938</w:t>
            </w:r>
          </w:p>
        </w:tc>
      </w:tr>
      <w:tr>
        <w:trPr/>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C Common Stock, $0.001 par value</w:t>
            </w:r>
          </w:p>
        </w:tc>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6, 2026</w:t>
            </w:r>
          </w:p>
        </w:tc>
        <w:tc>
          <w:tcPr>
            <w:tcW w:w="16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31,938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BIMINI CAPITAL MANAGEMENT, INC.</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8000"/>
        <w:gridCol w:w="410"/>
      </w:tblGrid>
      <w:tr>
        <w:trPr/>
        <w:tc>
          <w:tcPr>
            <w:tcW w:w="8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tc>
      </w:tr>
      <w:tr>
        <w:trPr/>
        <w:tc>
          <w:tcPr>
            <w:tcW w:w="8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410" w:type="dxa"/>
            <w:gridSpan w:val="2"/>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rPr>
                <w:t>PART I. FINANCIAL INFORMATION</w:t>
              </w:r>
            </w:hyperlink>
          </w:p>
        </w:tc>
      </w:tr>
      <w:tr>
        <w:trPr/>
        <w:tc>
          <w:tcPr>
            <w:tcW w:w="8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rPr>
                <w:t>ITEM 1. Financial Statements</w:t>
              </w:r>
            </w:hyperlink>
          </w:p>
        </w:tc>
        <w:tc>
          <w:tcPr>
            <w:tcW w:w="410" w:type="dxa"/>
            <w:tcBorders/>
            <w:vAlign w:val="center"/>
          </w:tcPr>
          <w:p>
            <w:pPr>
              <w:pStyle w:val="TableContents"/>
              <w:bidi w:val="0"/>
              <w:spacing w:before="0" w:after="0"/>
              <w:ind w:left="0" w:right="0" w:hanging="0"/>
              <w:jc w:val="right"/>
              <w:rPr/>
            </w:pPr>
            <w:hyperlink w:anchor="item1">
              <w:r>
                <w:rPr>
                  <w:rStyle w:val="InternetLink"/>
                  <w:rFonts w:ascii="Times New Roman" w:hAnsi="Times New Roman"/>
                  <w:caps w:val="false"/>
                  <w:smallCaps w:val="false"/>
                  <w:sz w:val="20"/>
                </w:rPr>
                <w:t>1</w:t>
              </w:r>
            </w:hyperlink>
          </w:p>
        </w:tc>
      </w:tr>
      <w:tr>
        <w:trPr/>
        <w:tc>
          <w:tcPr>
            <w:tcW w:w="8000" w:type="dxa"/>
            <w:tcBorders/>
            <w:vAlign w:val="center"/>
          </w:tcPr>
          <w:p>
            <w:pPr>
              <w:pStyle w:val="TableContents"/>
              <w:bidi w:val="0"/>
              <w:spacing w:before="0" w:after="0"/>
              <w:ind w:left="360" w:right="0" w:hanging="0"/>
              <w:jc w:val="left"/>
              <w:rPr/>
            </w:pPr>
            <w:hyperlink w:anchor="bs">
              <w:r>
                <w:rPr>
                  <w:rStyle w:val="InternetLink"/>
                  <w:rFonts w:ascii="Times New Roman" w:hAnsi="Times New Roman"/>
                  <w:caps w:val="false"/>
                  <w:smallCaps w:val="false"/>
                  <w:sz w:val="20"/>
                </w:rPr>
                <w:t>Condensed Consolidated Balance Sheets (unaudited)</w:t>
              </w:r>
            </w:hyperlink>
          </w:p>
        </w:tc>
        <w:tc>
          <w:tcPr>
            <w:tcW w:w="41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1</w:t>
              </w:r>
            </w:hyperlink>
          </w:p>
        </w:tc>
      </w:tr>
      <w:tr>
        <w:trPr/>
        <w:tc>
          <w:tcPr>
            <w:tcW w:w="8000" w:type="dxa"/>
            <w:tcBorders/>
            <w:vAlign w:val="center"/>
          </w:tcPr>
          <w:p>
            <w:pPr>
              <w:pStyle w:val="TableContents"/>
              <w:bidi w:val="0"/>
              <w:spacing w:before="0" w:after="0"/>
              <w:ind w:left="360" w:right="0" w:hanging="0"/>
              <w:jc w:val="left"/>
              <w:rPr/>
            </w:pPr>
            <w:hyperlink w:anchor="operations">
              <w:r>
                <w:rPr>
                  <w:rStyle w:val="InternetLink"/>
                  <w:rFonts w:ascii="Times New Roman" w:hAnsi="Times New Roman"/>
                  <w:caps w:val="false"/>
                  <w:smallCaps w:val="false"/>
                  <w:sz w:val="20"/>
                </w:rPr>
                <w:t>Condensed Consolidated Statements of Operations (unaudited)</w:t>
              </w:r>
            </w:hyperlink>
          </w:p>
        </w:tc>
        <w:tc>
          <w:tcPr>
            <w:tcW w:w="410" w:type="dxa"/>
            <w:tcBorders/>
            <w:vAlign w:val="center"/>
          </w:tcPr>
          <w:p>
            <w:pPr>
              <w:pStyle w:val="TableContents"/>
              <w:bidi w:val="0"/>
              <w:spacing w:before="0" w:after="0"/>
              <w:ind w:left="0" w:right="0" w:hanging="0"/>
              <w:jc w:val="right"/>
              <w:rPr/>
            </w:pPr>
            <w:hyperlink w:anchor="operations">
              <w:r>
                <w:rPr>
                  <w:rStyle w:val="InternetLink"/>
                  <w:rFonts w:ascii="Times New Roman" w:hAnsi="Times New Roman"/>
                  <w:caps w:val="false"/>
                  <w:smallCaps w:val="false"/>
                  <w:sz w:val="20"/>
                </w:rPr>
                <w:t>2</w:t>
              </w:r>
            </w:hyperlink>
          </w:p>
        </w:tc>
      </w:tr>
      <w:tr>
        <w:trPr/>
        <w:tc>
          <w:tcPr>
            <w:tcW w:w="8000" w:type="dxa"/>
            <w:tcBorders/>
            <w:vAlign w:val="center"/>
          </w:tcPr>
          <w:p>
            <w:pPr>
              <w:pStyle w:val="TableContents"/>
              <w:bidi w:val="0"/>
              <w:spacing w:before="0" w:after="0"/>
              <w:ind w:left="360" w:right="0" w:hanging="0"/>
              <w:jc w:val="left"/>
              <w:rPr/>
            </w:pPr>
            <w:hyperlink w:anchor="equity">
              <w:r>
                <w:rPr>
                  <w:rStyle w:val="InternetLink"/>
                  <w:rFonts w:ascii="Times New Roman" w:hAnsi="Times New Roman"/>
                  <w:caps w:val="false"/>
                  <w:smallCaps w:val="false"/>
                  <w:sz w:val="20"/>
                </w:rPr>
                <w:t>Condensed Consolidated Statement of Stockholders’ Equity (unaudited)</w:t>
              </w:r>
            </w:hyperlink>
          </w:p>
        </w:tc>
        <w:tc>
          <w:tcPr>
            <w:tcW w:w="41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3</w:t>
              </w:r>
            </w:hyperlink>
          </w:p>
        </w:tc>
      </w:tr>
      <w:tr>
        <w:trPr/>
        <w:tc>
          <w:tcPr>
            <w:tcW w:w="8000" w:type="dxa"/>
            <w:tcBorders/>
            <w:vAlign w:val="center"/>
          </w:tcPr>
          <w:p>
            <w:pPr>
              <w:pStyle w:val="TableContents"/>
              <w:bidi w:val="0"/>
              <w:spacing w:before="0" w:after="0"/>
              <w:ind w:left="360" w:right="0" w:hanging="0"/>
              <w:jc w:val="left"/>
              <w:rPr/>
            </w:pPr>
            <w:hyperlink w:anchor="cashflows">
              <w:r>
                <w:rPr>
                  <w:rStyle w:val="InternetLink"/>
                  <w:rFonts w:ascii="Times New Roman" w:hAnsi="Times New Roman"/>
                  <w:caps w:val="false"/>
                  <w:smallCaps w:val="false"/>
                  <w:sz w:val="20"/>
                </w:rPr>
                <w:t>Condensed Consolidated Statements of Cash Flows (unaudited)</w:t>
              </w:r>
            </w:hyperlink>
          </w:p>
        </w:tc>
        <w:tc>
          <w:tcPr>
            <w:tcW w:w="41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4</w:t>
              </w:r>
            </w:hyperlink>
          </w:p>
        </w:tc>
      </w:tr>
      <w:tr>
        <w:trPr/>
        <w:tc>
          <w:tcPr>
            <w:tcW w:w="8000" w:type="dxa"/>
            <w:tcBorders/>
            <w:vAlign w:val="center"/>
          </w:tcPr>
          <w:p>
            <w:pPr>
              <w:pStyle w:val="TableContents"/>
              <w:bidi w:val="0"/>
              <w:spacing w:before="0" w:after="0"/>
              <w:ind w:left="360" w:right="0" w:hanging="0"/>
              <w:jc w:val="left"/>
              <w:rPr/>
            </w:pPr>
            <w:hyperlink w:anchor="notes">
              <w:r>
                <w:rPr>
                  <w:rStyle w:val="InternetLink"/>
                  <w:rFonts w:ascii="Times New Roman" w:hAnsi="Times New Roman"/>
                  <w:caps w:val="false"/>
                  <w:smallCaps w:val="false"/>
                  <w:sz w:val="20"/>
                </w:rPr>
                <w:t>Notes to Condensed Consolidated Financial Statements (unaudited)</w:t>
              </w:r>
            </w:hyperlink>
          </w:p>
        </w:tc>
        <w:tc>
          <w:tcPr>
            <w:tcW w:w="41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5</w:t>
              </w:r>
            </w:hyperlink>
          </w:p>
        </w:tc>
      </w:tr>
      <w:tr>
        <w:trPr/>
        <w:tc>
          <w:tcPr>
            <w:tcW w:w="800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41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24</w:t>
              </w:r>
            </w:hyperlink>
          </w:p>
        </w:tc>
      </w:tr>
      <w:tr>
        <w:trPr/>
        <w:tc>
          <w:tcPr>
            <w:tcW w:w="800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ITEM 3. Quantitative and Qualitative Disclosures About Market Risk</w:t>
              </w:r>
            </w:hyperlink>
          </w:p>
        </w:tc>
        <w:tc>
          <w:tcPr>
            <w:tcW w:w="410"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44</w:t>
              </w:r>
            </w:hyperlink>
          </w:p>
        </w:tc>
      </w:tr>
      <w:tr>
        <w:trPr/>
        <w:tc>
          <w:tcPr>
            <w:tcW w:w="800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ITEM 4. Controls and Procedures</w:t>
              </w:r>
            </w:hyperlink>
          </w:p>
        </w:tc>
        <w:tc>
          <w:tcPr>
            <w:tcW w:w="41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44</w:t>
              </w:r>
            </w:hyperlink>
          </w:p>
        </w:tc>
      </w:tr>
      <w:tr>
        <w:trPr/>
        <w:tc>
          <w:tcPr>
            <w:tcW w:w="8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410" w:type="dxa"/>
            <w:gridSpan w:val="2"/>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rPr>
                <w:t>PART II. OTHER INFORMATION</w:t>
              </w:r>
            </w:hyperlink>
          </w:p>
        </w:tc>
      </w:tr>
      <w:tr>
        <w:trPr/>
        <w:tc>
          <w:tcPr>
            <w:tcW w:w="8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41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46</w:t>
              </w:r>
            </w:hyperlink>
          </w:p>
        </w:tc>
      </w:tr>
      <w:tr>
        <w:trPr/>
        <w:tc>
          <w:tcPr>
            <w:tcW w:w="800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41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46</w:t>
              </w:r>
            </w:hyperlink>
          </w:p>
        </w:tc>
      </w:tr>
      <w:tr>
        <w:trPr/>
        <w:tc>
          <w:tcPr>
            <w:tcW w:w="8000" w:type="dxa"/>
            <w:tcBorders/>
            <w:vAlign w:val="center"/>
          </w:tcPr>
          <w:p>
            <w:pPr>
              <w:pStyle w:val="TableContents"/>
              <w:bidi w:val="0"/>
              <w:spacing w:before="0" w:after="0"/>
              <w:ind w:left="0" w:right="0" w:hanging="0"/>
              <w:jc w:val="left"/>
              <w:rPr/>
            </w:pPr>
            <w:hyperlink w:anchor="unregsales">
              <w:r>
                <w:rPr>
                  <w:rStyle w:val="InternetLink"/>
                  <w:rFonts w:ascii="Times New Roman" w:hAnsi="Times New Roman"/>
                  <w:caps w:val="false"/>
                  <w:smallCaps w:val="false"/>
                  <w:sz w:val="20"/>
                </w:rPr>
                <w:t>ITEM 2. Unregistered Sales of Equity Securities and Use of Proceeds</w:t>
              </w:r>
            </w:hyperlink>
          </w:p>
        </w:tc>
        <w:tc>
          <w:tcPr>
            <w:tcW w:w="410" w:type="dxa"/>
            <w:tcBorders/>
            <w:vAlign w:val="center"/>
          </w:tcPr>
          <w:p>
            <w:pPr>
              <w:pStyle w:val="TableContents"/>
              <w:bidi w:val="0"/>
              <w:spacing w:before="0" w:after="0"/>
              <w:ind w:left="0" w:right="0" w:hanging="0"/>
              <w:jc w:val="right"/>
              <w:rPr/>
            </w:pPr>
            <w:hyperlink w:anchor="unregsales">
              <w:r>
                <w:rPr>
                  <w:rStyle w:val="InternetLink"/>
                  <w:rFonts w:ascii="Times New Roman" w:hAnsi="Times New Roman"/>
                  <w:caps w:val="false"/>
                  <w:smallCaps w:val="false"/>
                  <w:sz w:val="20"/>
                </w:rPr>
                <w:t>47</w:t>
              </w:r>
            </w:hyperlink>
          </w:p>
        </w:tc>
      </w:tr>
      <w:tr>
        <w:trPr/>
        <w:tc>
          <w:tcPr>
            <w:tcW w:w="800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ITEM 3. Defaults Upon Senior Securities</w:t>
              </w:r>
            </w:hyperlink>
          </w:p>
        </w:tc>
        <w:tc>
          <w:tcPr>
            <w:tcW w:w="41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47</w:t>
              </w:r>
            </w:hyperlink>
          </w:p>
        </w:tc>
      </w:tr>
      <w:tr>
        <w:trPr/>
        <w:tc>
          <w:tcPr>
            <w:tcW w:w="800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41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47</w:t>
              </w:r>
            </w:hyperlink>
          </w:p>
        </w:tc>
      </w:tr>
      <w:tr>
        <w:trPr/>
        <w:tc>
          <w:tcPr>
            <w:tcW w:w="800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41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48</w:t>
              </w:r>
            </w:hyperlink>
          </w:p>
        </w:tc>
      </w:tr>
      <w:tr>
        <w:trPr/>
        <w:tc>
          <w:tcPr>
            <w:tcW w:w="800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41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48</w:t>
              </w:r>
            </w:hyperlink>
          </w:p>
        </w:tc>
      </w:tr>
      <w:tr>
        <w:trPr/>
        <w:tc>
          <w:tcPr>
            <w:tcW w:w="8000"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41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49</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make forward-looking statements in this Report that are subject to risks and uncertainties. In some cases, these statements can be identified by the use of forward-looking terminology such as “believe,” “expect,” “anticipate,” “estimate,” “intend,” “should,” “may,” “plans,” “projects,” “will,” or similar expressions, or the negatives of these words. These forward-looking statements involve risks and uncertainties because they relate to events, developments, and circumstances relating to our business, industry financial condition, liquidity, results of operations, plans and objectives and/or general economic or other conditions that may or may not occur in the future or may occur on longer or shorter timelines or to a greater or lesser degree than anticipated. Although we believe that we have a reasonable basis for each forward-looking statement contained in this report, forward-looking statements are not guarantees of future performance, and our actual results of operations, financial condition and liquidity, and the development of the industries in which we operate, may differ materially from the forward-looking statements contained in this Report as a result of the following factors, among others: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movements in interest rates;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and investment strategy and our ability to execute against that strategy;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acquire investments on attractive terms;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prepayment rates on the value of our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access the capital markets or to obtain other financing on acceptable terms;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successfully hedge the interest rate risk and prepayment risk associated with our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understanding of our competition and our ability to compete effectively;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quantify risk based on historical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forecast our tax attributes, which are based upon various facts and assumptions, and our ability to protect and use our net operating loss carryforwards (“NOLs”) to offset future taxable income, including whether our stockholder rights plan will be effective in preventing an ownership change that would significantly limit our ability to utilize such NOLs;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technology, including cybersecurity incidents and technology failures, on our operations and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our exemption from the obligation to register under the Investment Company Act of 1940, as amended;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actual, anticipated or proposed actions of the U.S. government, including the U.S. Federal Reserve, the Federal Housing Finance Agency, the Federal Housing Administration, the Federal Open Market Committee and the U.S. Treasury, on interest rates, monetary policy, fiscal policy and the housing and credit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federal conservatorship of the Federal National Mortgage Association (“Fannie Mae”) and the Federal Home Loan Mortgage Corporation (“Freddie Mac”) and related efforts, along with any changes in laws and regulations affecting the relationship between Fannie Mae and Freddie Mac and the U.S. government;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inflation on general economic conditions and monetary policy;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future changes in laws, regulations, accounting standards, tax laws or tax rates;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geopolitical events, government responses to such events and the related impact on the economy both nationally and internationally;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the fluctuation of assets under management and performance-based revenues;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the cost of maintaining compliance with the SEC’s regulations applicable to registered investment advisor;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the impact of our investment performance on our assets under management and our reputation;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attract and maintain key investment professionals and client relationships;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efficiently and effectively integrate the recently acquired investment advisory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potential claims, damages, penalties, fines, costs and reputational damage resulting from pending or future litigation, regulatory proceedings and enforcement actions;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risks described from time to time in our filings with the Securities and Exchange Commission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forward-looking statements are based on our beliefs, assumptions and expectations of our future performance, taking into account all information currently available to us. You should not place undue reliance on these forward-looking statements. These beliefs, assumptions and expectations can change as a result of many possible events or factors, not all of which are known to us. Some of these factors are described under the caption “Risk Factors” in Part I, Item 1A. of our Annual Report on Form 10-K for the year ended December 31, 2025 and any subsequent reports filed with or furnished to the SEC.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4" w:name="item1"/>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BIMINI CAPITAL MANAGEMENT,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281"/>
        <w:gridCol w:w="60"/>
        <w:gridCol w:w="144"/>
        <w:gridCol w:w="1285"/>
        <w:gridCol w:w="80"/>
        <w:gridCol w:w="60"/>
        <w:gridCol w:w="122"/>
        <w:gridCol w:w="1092"/>
        <w:gridCol w:w="81"/>
      </w:tblGrid>
      <w:tr>
        <w:trPr/>
        <w:tc>
          <w:tcPr>
            <w:tcW w:w="728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b/>
                <w:sz w:val="18"/>
              </w:rPr>
              <w:t>(Unaudited) June 30, 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b/>
                <w:sz w:val="18"/>
              </w:rPr>
              <w:t>December 31, 2025</w:t>
            </w:r>
          </w:p>
        </w:tc>
        <w:tc>
          <w:tcPr>
            <w:tcW w:w="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 at fair value (includes pledged assets of $15,872,414 and $88,807,576, respectively)</w:t>
            </w:r>
          </w:p>
        </w:tc>
        <w:tc>
          <w:tcPr>
            <w:tcW w:w="60" w:type="dxa"/>
            <w:tcBorders>
              <w:top w:val="single" w:sz="2" w:space="0" w:color="000000"/>
            </w:tcBorders>
            <w:shd w:fill="CCEEFF" w:val="clear"/>
            <w:tcMar>
              <w:top w:w="28" w:type="dxa"/>
              <w:bottom w:w="0" w:type="dxa"/>
            </w:tcMar>
            <w:vAlign w:val="center"/>
          </w:tcPr>
          <w:p>
            <w:pPr>
              <w:pStyle w:val="TableContents"/>
              <w:bidi w:val="0"/>
              <w:spacing w:before="0" w:after="283"/>
              <w:jc w:val="left"/>
              <w:rPr/>
            </w:pPr>
            <w:r>
              <w:rPr/>
              <w:t> </w:t>
            </w:r>
          </w:p>
        </w:tc>
        <w:tc>
          <w:tcPr>
            <w:tcW w:w="144"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85"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15,984,754</w:t>
            </w:r>
          </w:p>
        </w:tc>
        <w:tc>
          <w:tcPr>
            <w:tcW w:w="80" w:type="dxa"/>
            <w:tcBorders>
              <w:top w:val="single" w:sz="2" w:space="0" w:color="000000"/>
            </w:tcBorders>
            <w:shd w:fill="CCEEFF" w:val="clear"/>
            <w:tcMar>
              <w:top w:w="28" w:type="dxa"/>
              <w:bottom w:w="0" w:type="dxa"/>
            </w:tcMar>
            <w:vAlign w:val="center"/>
          </w:tcPr>
          <w:p>
            <w:pPr>
              <w:pStyle w:val="TableContents"/>
              <w:bidi w:val="0"/>
              <w:spacing w:before="0" w:after="283"/>
              <w:jc w:val="left"/>
              <w:rPr/>
            </w:pPr>
            <w:r>
              <w:rPr/>
              <w:t> </w:t>
            </w:r>
          </w:p>
        </w:tc>
        <w:tc>
          <w:tcPr>
            <w:tcW w:w="60" w:type="dxa"/>
            <w:tcBorders>
              <w:top w:val="single" w:sz="2" w:space="0" w:color="000000"/>
            </w:tcBorders>
            <w:shd w:fill="CCEEFF" w:val="clear"/>
            <w:tcMar>
              <w:top w:w="28" w:type="dxa"/>
              <w:bottom w:w="0" w:type="dxa"/>
            </w:tcMar>
            <w:vAlign w:val="center"/>
          </w:tcPr>
          <w:p>
            <w:pPr>
              <w:pStyle w:val="TableContents"/>
              <w:bidi w:val="0"/>
              <w:spacing w:before="0" w:after="283"/>
              <w:jc w:val="left"/>
              <w:rPr/>
            </w:pPr>
            <w:r>
              <w:rPr/>
              <w:t> </w:t>
            </w:r>
          </w:p>
        </w:tc>
        <w:tc>
          <w:tcPr>
            <w:tcW w:w="122"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92"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88,928,525</w:t>
            </w:r>
          </w:p>
        </w:tc>
        <w:tc>
          <w:tcPr>
            <w:tcW w:w="81" w:type="dxa"/>
            <w:tcBorders>
              <w:top w:val="single" w:sz="2" w:space="0" w:color="000000"/>
            </w:tcBorders>
            <w:shd w:fill="CCEEFF" w:val="clear"/>
            <w:tcMar>
              <w:top w:w="28" w:type="dxa"/>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995,469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6,459,310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12,696,660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157,499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1,621,399</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Orchid Island Capital, Inc. common stock,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3,966,425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4,097,311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Identifiable intangibles,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9,530,000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4,838,864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Accounts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1,702,629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1,745,314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1,768,864</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Deferred tax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15,714,512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17,239,648</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Due from affiliates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1,798,946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1,660,666</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1,472,432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1,680,899</w:t>
            </w:r>
          </w:p>
        </w:tc>
        <w:tc>
          <w:tcPr>
            <w:tcW w:w="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281"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Assets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64,366,154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9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129,693,972</w:t>
            </w:r>
          </w:p>
        </w:tc>
        <w:tc>
          <w:tcPr>
            <w:tcW w:w="8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REDEEMABLE NONCONTROLLING INTEREST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27,335,067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27,346,546</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5,036,447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4,398,629</w:t>
            </w:r>
          </w:p>
        </w:tc>
        <w:tc>
          <w:tcPr>
            <w:tcW w:w="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28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47,404,514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117,071,175</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COMMITMENTS AND CONTINGENCIES (Note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Redeemable 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8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3,203,914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Preferred stock, $0.001 par value; 10,000,000 shares authorized; 100,000 shares designated Series A Junior Preferred Stock, 9,900,000 shares undesignated; no shares issued and outstanding as of June 30, 2026 and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Class A Common stock, $0.001 par value; 98,000,000 shares designated: 9,990,256 shares issued and outstanding as of June 30, 2026 and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10,005</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Class B Common stock, $0.001 par value; 1,000,000 shares designated, 31,938 shares issued and outstanding as of June 30, 2026 and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Class C Common stock, $0.001 par value; 1,000,000 shares designated, 31,938 shares issued and outstanding as of June 30, 2026 and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728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329,774,983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329,815,150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728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Accumulated deficit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(316,027,311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(317,202,422</w:t>
            </w:r>
          </w:p>
        </w:tc>
        <w:tc>
          <w:tcPr>
            <w:tcW w:w="81"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28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Stockholders’ 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13,757,726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12,622,797</w:t>
            </w:r>
          </w:p>
        </w:tc>
        <w:tc>
          <w:tcPr>
            <w:tcW w:w="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281"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 Redeemable Noncontrolling Interest and Stockholders' Equity</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64,366,154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9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129,693,972</w:t>
            </w:r>
          </w:p>
        </w:tc>
        <w:tc>
          <w:tcPr>
            <w:tcW w:w="81"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- 1 -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525" w:type="dxa"/>
        <w:jc w:val="left"/>
        <w:tblInd w:w="0" w:type="dxa"/>
        <w:tblLayout w:type="fixed"/>
        <w:tblCellMar>
          <w:top w:w="0" w:type="dxa"/>
          <w:left w:w="0" w:type="dxa"/>
          <w:bottom w:w="0" w:type="dxa"/>
          <w:right w:w="0" w:type="dxa"/>
        </w:tblCellMar>
      </w:tblPr>
      <w:tblGrid>
        <w:gridCol w:w="5525"/>
      </w:tblGrid>
      <w:tr>
        <w:trPr/>
        <w:tc>
          <w:tcPr>
            <w:tcW w:w="552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bookmarkStart w:id="6" w:name="operations"/>
            <w:bookmarkEnd w:id="6"/>
            <w:r>
              <w:rPr>
                <w:rFonts w:ascii="Times New Roman" w:hAnsi="Times New Roman"/>
                <w:b/>
                <w:caps w:val="false"/>
                <w:smallCaps w:val="false"/>
                <w:sz w:val="18"/>
              </w:rPr>
              <w:t>BIMINI CAPITAL MANAGEMENT, INC.</w:t>
            </w:r>
          </w:p>
        </w:tc>
      </w:tr>
      <w:tr>
        <w:trPr/>
        <w:tc>
          <w:tcPr>
            <w:tcW w:w="552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CONDENSED CONSOLIDATED STATEMENTS OF OPERATIONS</w:t>
            </w:r>
          </w:p>
        </w:tc>
      </w:tr>
      <w:tr>
        <w:trPr/>
        <w:tc>
          <w:tcPr>
            <w:tcW w:w="552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(Unaudited)</w:t>
            </w:r>
          </w:p>
        </w:tc>
      </w:tr>
      <w:tr>
        <w:trPr/>
        <w:tc>
          <w:tcPr>
            <w:tcW w:w="552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Six and Three Months Ended June 30, 2026 and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05"/>
        <w:gridCol w:w="60"/>
        <w:gridCol w:w="113"/>
        <w:gridCol w:w="857"/>
        <w:gridCol w:w="82"/>
        <w:gridCol w:w="61"/>
        <w:gridCol w:w="113"/>
        <w:gridCol w:w="857"/>
        <w:gridCol w:w="80"/>
        <w:gridCol w:w="60"/>
        <w:gridCol w:w="127"/>
        <w:gridCol w:w="856"/>
        <w:gridCol w:w="92"/>
        <w:gridCol w:w="69"/>
        <w:gridCol w:w="127"/>
        <w:gridCol w:w="960"/>
        <w:gridCol w:w="86"/>
      </w:tblGrid>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REIT management fees</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10,204,532</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5,077,688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3,810,846</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Investment advisory fees</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1,728,157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1,728,157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1,415,168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251,361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1,581,751</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income from Orchid Island Capital, Inc.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375,587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409,731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170,721</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204,865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13,723,444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11,126,791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7,227,927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5,597,462</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agreements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(841,582</w:t>
            </w:r>
          </w:p>
        </w:tc>
        <w:tc>
          <w:tcPr>
            <w:tcW w:w="8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(2,497,463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(144,512</w:t>
            </w:r>
          </w:p>
        </w:tc>
        <w:tc>
          <w:tcPr>
            <w:tcW w:w="9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(1,190,963</w:t>
            </w:r>
          </w:p>
        </w:tc>
        <w:tc>
          <w:tcPr>
            <w:tcW w:w="8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Long-term debt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(994,531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(1,077,972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(498,636</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(540,452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11,887,331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7,551,356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6,584,779</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3,866,047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income (expense):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mortgage-backed securities and U.S. Treasury securities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(261,976</w:t>
            </w:r>
          </w:p>
        </w:tc>
        <w:tc>
          <w:tcPr>
            <w:tcW w:w="82"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1,390,370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5,491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(98,638</w:t>
            </w:r>
          </w:p>
        </w:tc>
        <w:tc>
          <w:tcPr>
            <w:tcW w:w="8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losses on mortgage-backed securities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(372,053</w:t>
            </w:r>
          </w:p>
        </w:tc>
        <w:tc>
          <w:tcPr>
            <w:tcW w:w="8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(178,140</w:t>
            </w:r>
          </w:p>
        </w:tc>
        <w:tc>
          <w:tcPr>
            <w:tcW w:w="8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on Orchid Island Capital Inc. common stock</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(130,886</w:t>
            </w:r>
          </w:p>
        </w:tc>
        <w:tc>
          <w:tcPr>
            <w:tcW w:w="82"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(438,184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(34,144</w:t>
            </w:r>
          </w:p>
        </w:tc>
        <w:tc>
          <w:tcPr>
            <w:tcW w:w="92"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(290,226</w:t>
            </w:r>
          </w:p>
        </w:tc>
        <w:tc>
          <w:tcPr>
            <w:tcW w:w="8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derivative instruments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273,377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(1,799,586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94,980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(430,791</w:t>
            </w:r>
          </w:p>
        </w:tc>
        <w:tc>
          <w:tcPr>
            <w:tcW w:w="8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expense, net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(491,105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(1,025,540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66,760</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(997,795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and related benefits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4,666,105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3,772,271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2,620,247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1,853,623</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advisory services costs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862,788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418,789</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445,826</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405,717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202,859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189,485</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491,912</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233,165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165,211</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related expenses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1,515,755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914,587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170,000</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170,000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Administrative and other expenses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459,411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303,724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285,271</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164,829</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expenses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8,571,688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5,743,131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4,844,918</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2,818,974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before income tax provision</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2,824,538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782,685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1,806,621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49,278</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tax provision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1,525,136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187,383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1,308,273</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6,546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1,299,402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595,302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498,348</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42,732</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Less: income attributable to noncontrolling interests</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124,291</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124,291</w:t>
            </w:r>
          </w:p>
        </w:tc>
        <w:tc>
          <w:tcPr>
            <w:tcW w:w="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60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income attributable to Bimini Capital Management, Inc. stockholders</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1,175,111</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595,302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374,057</w:t>
            </w:r>
          </w:p>
        </w:tc>
        <w:tc>
          <w:tcPr>
            <w:tcW w:w="9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42,732</w:t>
            </w:r>
          </w:p>
        </w:tc>
        <w:tc>
          <w:tcPr>
            <w:tcW w:w="86"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 share information attributable to Bimini Capital Management, Inc. stockholders: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Income Per Share of:</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A Common Stock</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bottom w:val="double" w:sz="6" w:space="0" w:color="000000"/>
            </w:tcBorders>
            <w:shd w:fill="CCEEFF" w:val="clear"/>
            <w:tcMar>
              <w:bottom w:w="28"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B Common Stock</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 Average Shares Outstanding: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A Common Stock</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10,004,315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10,005,457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9,998,603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10,005,457</w:t>
            </w:r>
          </w:p>
        </w:tc>
        <w:tc>
          <w:tcPr>
            <w:tcW w:w="86" w:type="dxa"/>
            <w:tcBorders/>
            <w:shd w:fill="CCEEFF" w:val="clear"/>
            <w:vAlign w:val="center"/>
          </w:tcPr>
          <w:p>
            <w:pPr>
              <w:pStyle w:val="TableContents"/>
              <w:bidi w:val="0"/>
              <w:spacing w:before="0" w:after="283"/>
              <w:jc w:val="left"/>
              <w:rPr/>
            </w:pPr>
            <w:r>
              <w:rPr/>
              <w:t> </w:t>
            </w:r>
          </w:p>
        </w:tc>
      </w:tr>
      <w:tr>
        <w:trPr/>
        <w:tc>
          <w:tcPr>
            <w:tcW w:w="5605" w:type="dxa"/>
            <w:tcBorders>
              <w:bottom w:val="double" w:sz="6" w:space="0" w:color="000000"/>
            </w:tcBorders>
            <w:shd w:fill="FFFFFF" w:val="clear"/>
            <w:tcMar>
              <w:bottom w:w="28"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B Common Stock</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31,938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31,938</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31,938</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BIMINI CAPITAL MANAGEMENT, INC.</w:t>
            </w:r>
          </w:p>
        </w:tc>
      </w:tr>
      <w:tr>
        <w:trPr/>
        <w:tc>
          <w:tcPr>
            <w:tcW w:w="10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REDEEMABLE NONCONTROLLING INTEREST AND STOCKHOLDERS' EQUITY</w:t>
            </w:r>
          </w:p>
        </w:tc>
      </w:tr>
      <w:tr>
        <w:trPr/>
        <w:tc>
          <w:tcPr>
            <w:tcW w:w="10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102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and Three Months Ended June 30, 2026 and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27"/>
        <w:gridCol w:w="60"/>
        <w:gridCol w:w="149"/>
        <w:gridCol w:w="1011"/>
        <w:gridCol w:w="60"/>
        <w:gridCol w:w="60"/>
        <w:gridCol w:w="70"/>
        <w:gridCol w:w="979"/>
        <w:gridCol w:w="94"/>
        <w:gridCol w:w="70"/>
        <w:gridCol w:w="132"/>
        <w:gridCol w:w="629"/>
        <w:gridCol w:w="80"/>
        <w:gridCol w:w="60"/>
        <w:gridCol w:w="110"/>
        <w:gridCol w:w="920"/>
        <w:gridCol w:w="80"/>
        <w:gridCol w:w="60"/>
        <w:gridCol w:w="110"/>
        <w:gridCol w:w="980"/>
        <w:gridCol w:w="80"/>
        <w:gridCol w:w="60"/>
        <w:gridCol w:w="110"/>
        <w:gridCol w:w="830"/>
        <w:gridCol w:w="84"/>
      </w:tblGrid>
      <w:tr>
        <w:trPr/>
        <w:tc>
          <w:tcPr>
            <w:tcW w:w="3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pPr>
            <w:r>
              <w:rPr>
                <w:rStyle w:val="Emphasis"/>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7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 Equity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Redeemable</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Noncontrolling</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 all classes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3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Interest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January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10,069,333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329,815,150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(317,202,422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12,622,797</w:t>
            </w:r>
          </w:p>
        </w:tc>
        <w:tc>
          <w:tcPr>
            <w:tcW w:w="84" w:type="dxa"/>
            <w:tcBorders/>
            <w:shd w:fill="CCEEFF" w:val="clear"/>
            <w:vAlign w:val="center"/>
          </w:tcPr>
          <w:p>
            <w:pPr>
              <w:pStyle w:val="TableContents"/>
              <w:bidi w:val="0"/>
              <w:spacing w:before="0" w:after="283"/>
              <w:jc w:val="left"/>
              <w:rPr/>
            </w:pPr>
            <w:r>
              <w:rPr/>
              <w:t> </w:t>
            </w:r>
          </w:p>
        </w:tc>
      </w:tr>
      <w:tr>
        <w:trPr/>
        <w:tc>
          <w:tcPr>
            <w:tcW w:w="33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801,054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801,054</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10,069,333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329,815,150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(316,401,368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13,423,851</w:t>
            </w:r>
          </w:p>
        </w:tc>
        <w:tc>
          <w:tcPr>
            <w:tcW w:w="84" w:type="dxa"/>
            <w:tcBorders/>
            <w:shd w:fill="CCEEFF" w:val="clear"/>
            <w:vAlign w:val="center"/>
          </w:tcPr>
          <w:p>
            <w:pPr>
              <w:pStyle w:val="TableContents"/>
              <w:bidi w:val="0"/>
              <w:spacing w:before="0" w:after="283"/>
              <w:jc w:val="left"/>
              <w:rPr/>
            </w:pPr>
            <w:r>
              <w:rPr/>
              <w:t> </w:t>
            </w:r>
          </w:p>
        </w:tc>
      </w:tr>
      <w:tr>
        <w:trPr/>
        <w:tc>
          <w:tcPr>
            <w:tcW w:w="33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124,291</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374,057</w:t>
            </w:r>
          </w:p>
        </w:tc>
        <w:tc>
          <w:tcPr>
            <w:tcW w:w="84" w:type="dxa"/>
            <w:tcBorders/>
            <w:shd w:fill="FFFFFF" w:val="clear"/>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on redeemable noncontrolling interest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3,079,623</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shd w:fill="CCEEFF" w:val="clear"/>
            <w:vAlign w:val="center"/>
          </w:tcPr>
          <w:p>
            <w:pPr>
              <w:pStyle w:val="TableContents"/>
              <w:bidi w:val="0"/>
              <w:spacing w:before="0" w:after="283"/>
              <w:jc w:val="left"/>
              <w:rPr/>
            </w:pPr>
            <w:r>
              <w:rPr/>
              <w:t> </w:t>
            </w:r>
          </w:p>
        </w:tc>
      </w:tr>
      <w:tr>
        <w:trPr/>
        <w:tc>
          <w:tcPr>
            <w:tcW w:w="33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A common shares repurchased and retired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(15,201</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(40,182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June 30, 2026</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3,203,914</w:t>
            </w:r>
          </w:p>
        </w:tc>
        <w:tc>
          <w:tcPr>
            <w:tcW w:w="60"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10,054,132</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329,774,983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(316,027,311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13,757,726</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10,069,333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329,815,150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(323,003,812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6,821,407</w:t>
            </w:r>
          </w:p>
        </w:tc>
        <w:tc>
          <w:tcPr>
            <w:tcW w:w="84" w:type="dxa"/>
            <w:tcBorders/>
            <w:shd w:fill="CCEEFF" w:val="clear"/>
            <w:vAlign w:val="center"/>
          </w:tcPr>
          <w:p>
            <w:pPr>
              <w:pStyle w:val="TableContents"/>
              <w:bidi w:val="0"/>
              <w:spacing w:before="0" w:after="283"/>
              <w:jc w:val="left"/>
              <w:rPr/>
            </w:pPr>
            <w:r>
              <w:rPr/>
              <w:t> </w:t>
            </w:r>
          </w:p>
        </w:tc>
      </w:tr>
      <w:tr>
        <w:trPr/>
        <w:tc>
          <w:tcPr>
            <w:tcW w:w="33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552,570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552,570</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10,069,333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329,815,150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(322,451,242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7,373,977</w:t>
            </w:r>
          </w:p>
        </w:tc>
        <w:tc>
          <w:tcPr>
            <w:tcW w:w="84" w:type="dxa"/>
            <w:tcBorders/>
            <w:shd w:fill="CCEEFF" w:val="clear"/>
            <w:vAlign w:val="center"/>
          </w:tcPr>
          <w:p>
            <w:pPr>
              <w:pStyle w:val="TableContents"/>
              <w:bidi w:val="0"/>
              <w:spacing w:before="0" w:after="283"/>
              <w:jc w:val="left"/>
              <w:rPr/>
            </w:pPr>
            <w:r>
              <w:rPr/>
              <w:t> </w:t>
            </w:r>
          </w:p>
        </w:tc>
      </w:tr>
      <w:tr>
        <w:trPr/>
        <w:tc>
          <w:tcPr>
            <w:tcW w:w="33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42,732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June 30, 2025</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10,069,333</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329,815,150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(322,408,510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7,416,709</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8" w:name="cashflows"/>
            <w:bookmarkEnd w:id="8"/>
            <w:r>
              <w:rPr>
                <w:rFonts w:ascii="Times New Roman" w:hAnsi="Times New Roman"/>
                <w:b/>
                <w:caps w:val="false"/>
                <w:smallCaps w:val="false"/>
                <w:sz w:val="20"/>
              </w:rPr>
              <w:t>BIMINI CAPITAL MANAGEMENT,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June 30, 2026 and 2025</w:t>
            </w:r>
          </w:p>
        </w:tc>
      </w:tr>
    </w:tbl>
    <w:p>
      <w:pPr>
        <w:pStyle w:val="TextBody"/>
        <w:bidi w:val="0"/>
        <w:spacing w:before="0" w:after="0"/>
        <w:ind w:left="0" w:right="0" w:hanging="0"/>
        <w:jc w:val="left"/>
        <w:rPr/>
      </w:pPr>
      <w:r>
        <w:rPr/>
        <w:t> </w:t>
      </w:r>
    </w:p>
    <w:tbl>
      <w:tblPr>
        <w:tblW w:w="9155" w:type="dxa"/>
        <w:jc w:val="left"/>
        <w:tblInd w:w="0" w:type="dxa"/>
        <w:tblLayout w:type="fixed"/>
        <w:tblCellMar>
          <w:top w:w="28" w:type="dxa"/>
          <w:left w:w="0" w:type="dxa"/>
          <w:bottom w:w="28" w:type="dxa"/>
          <w:right w:w="0" w:type="dxa"/>
        </w:tblCellMar>
      </w:tblPr>
      <w:tblGrid>
        <w:gridCol w:w="6560"/>
        <w:gridCol w:w="60"/>
        <w:gridCol w:w="110"/>
        <w:gridCol w:w="1115"/>
        <w:gridCol w:w="80"/>
        <w:gridCol w:w="60"/>
        <w:gridCol w:w="110"/>
        <w:gridCol w:w="980"/>
        <w:gridCol w:w="80"/>
      </w:tblGrid>
      <w:tr>
        <w:trPr/>
        <w:tc>
          <w:tcPr>
            <w:tcW w:w="65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22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90"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income</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1,299,402</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595,302</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Adjustments to reconcile net income to net cash provided by (used in)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Depreciation and amortization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212,483</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35,574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Deferred income tax provision</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1,525,136</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187,383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Unrealized losses (gains) on mortgage-backed securities and U.S. Treasury securities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261,976</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(1,390,370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Realized losses on mortgage-backed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372,053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178,140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Losses (gains) on TBA securities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54,984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Unrealized losses on Orchid Island Capital, Inc. common stock</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130,886</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438,184</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Changes in operating assets and liabilities: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Due from affiliates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(138,280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(181,289</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424,670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62,889</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bottom w:val="single" w:sz="2" w:space="0" w:color="000000"/>
            </w:tcBorders>
            <w:shd w:fill="CCEEFF" w:val="clear"/>
            <w:tcMar>
              <w:top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(1,349,214</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(1,251,762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(USED IN) OPERATING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2,794,096</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(1,325,949</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INVESTING ACTIVITIES: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Sales of mortgage-backed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68,590,546</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9,786,053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Principal repayments on mortgage-backed securities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3,716,572</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6,150,718</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Purchases of U.S. Treasury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(992,845</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360" w:right="0" w:hanging="360"/>
              <w:jc w:val="left"/>
              <w:rPr>
                <w:rFonts w:ascii="Times New Roman" w:hAnsi="Times New Roman"/>
                <w:caps w:val="false"/>
                <w:smallCaps w:val="false"/>
                <w:sz w:val="18"/>
              </w:rPr>
            </w:pPr>
            <w:r>
              <w:rPr>
                <w:rFonts w:ascii="Times New Roman" w:hAnsi="Times New Roman"/>
                <w:caps w:val="false"/>
                <w:smallCaps w:val="false"/>
                <w:sz w:val="18"/>
              </w:rPr>
              <w:t>Net payments on derivative instruments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(54,984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r>
      <w:tr>
        <w:trPr/>
        <w:tc>
          <w:tcPr>
            <w:tcW w:w="656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Acquisition of Tom Johnson Investment Management, LLC (net of $590,026 cash acquired)</w:t>
            </w:r>
          </w:p>
        </w:tc>
        <w:tc>
          <w:tcPr>
            <w:tcW w:w="6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CCEEFF" w:val="clear"/>
            <w:tcMar>
              <w:top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(11,409,974</w:t>
            </w:r>
          </w:p>
        </w:tc>
        <w:tc>
          <w:tcPr>
            <w:tcW w:w="8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top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tcMar>
              <w:top w:w="0" w:type="dxa"/>
            </w:tcMar>
            <w:vAlign w:val="center"/>
          </w:tcPr>
          <w:p>
            <w:pPr>
              <w:pStyle w:val="TableContents"/>
              <w:bidi w:val="0"/>
              <w:spacing w:before="0" w:after="0"/>
              <w:jc w:val="left"/>
              <w:rPr/>
            </w:pPr>
            <w:r>
              <w:rPr/>
              <w:t> </w:t>
            </w:r>
          </w:p>
        </w:tc>
      </w:tr>
      <w:tr>
        <w:trPr/>
        <w:tc>
          <w:tcPr>
            <w:tcW w:w="656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INVESTING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59,849,315</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15,936,771</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FINANCING ACTIVITIES: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Proceeds from repurchase agreements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1,017,909,523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481,624,478</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Principal repayments on repurchase agreements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(1,088,202,523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(497,063,477</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Principal repayments on long-term debt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(11,479</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(10,663</w:t>
            </w:r>
          </w:p>
        </w:tc>
        <w:tc>
          <w:tcPr>
            <w:tcW w:w="80"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656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Class A common shares repurchased and retired</w:t>
            </w:r>
          </w:p>
        </w:tc>
        <w:tc>
          <w:tcPr>
            <w:tcW w:w="6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(40,182</w:t>
            </w:r>
          </w:p>
        </w:tc>
        <w:tc>
          <w:tcPr>
            <w:tcW w:w="8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tcMar>
              <w:top w:w="0" w:type="dxa"/>
            </w:tcMar>
            <w:vAlign w:val="center"/>
          </w:tcPr>
          <w:p>
            <w:pPr>
              <w:pStyle w:val="TableContents"/>
              <w:bidi w:val="0"/>
              <w:spacing w:before="0" w:after="0"/>
              <w:jc w:val="left"/>
              <w:rPr/>
            </w:pPr>
            <w:r>
              <w:rPr/>
              <w:t> </w:t>
            </w:r>
          </w:p>
        </w:tc>
      </w:tr>
      <w:tr>
        <w:trPr/>
        <w:tc>
          <w:tcPr>
            <w:tcW w:w="6560" w:type="dxa"/>
            <w:tcBorders>
              <w:bottom w:val="single" w:sz="2" w:space="0" w:color="000000"/>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NET CASH USED IN FINANCING ACTIVITIES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(70,344,661</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(15,449,662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NET DECREASE IN CASH, CASH EQUIVALENTS AND RESTRICTED CASH</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(7,701,250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(838,840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560" w:type="dxa"/>
            <w:tcBorders>
              <w:bottom w:val="single" w:sz="2" w:space="0" w:color="000000"/>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beginning of the period</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14,318,059</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7,422,746</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560" w:type="dxa"/>
            <w:tcBorders>
              <w:bottom w:val="double" w:sz="6" w:space="0" w:color="000000"/>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end of the period</w:t>
            </w:r>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15"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6,616,809</w:t>
            </w:r>
          </w:p>
        </w:tc>
        <w:tc>
          <w:tcPr>
            <w:tcW w:w="8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80"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6,583,906</w:t>
            </w:r>
          </w:p>
        </w:tc>
        <w:tc>
          <w:tcPr>
            <w:tcW w:w="8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b/>
                <w:caps w:val="false"/>
                <w:smallCaps w:val="false"/>
                <w:sz w:val="18"/>
              </w:rPr>
            </w:pPr>
            <w:r>
              <w:rPr>
                <w:rFonts w:ascii="Times New Roman" w:hAnsi="Times New Roman"/>
                <w:b/>
                <w:caps w:val="false"/>
                <w:smallCaps w:val="false"/>
                <w:sz w:val="18"/>
              </w:rPr>
              <w:t>SUPPLEMENTAL DISCLOSURES OF CASH FLOW INFORMATION:</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115"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98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paid during the period for:</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Interest expense</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1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2,013,203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8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3,770,862</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56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Noncash investing and financing activities: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1115"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560"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Deferred acquisition consideration incurred - TJIM acquisition</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316,114</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8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notes"/>
      <w:bookmarkEnd w:id="9"/>
      <w:r>
        <w:rPr>
          <w:rFonts w:ascii="Times New Roman" w:hAnsi="Times New Roman"/>
          <w:b/>
          <w:caps w:val="false"/>
          <w:smallCaps w:val="false"/>
          <w:sz w:val="20"/>
        </w:rPr>
        <w:t>BIMINI CAPITAL MANAGEMENT,</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Bimini Capital Management, Inc., a Maryland corporation (“Bimini Capital” and collectively with its subsidiaries, the “Company”), operates in three business segments through its wholly owned subsidiaries and an 80% ownership stake in Tom Johnson Investment Management, LLC (“TJIM”), which was acquired 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See “TJIM” below for details of the acquisition of TJIM and the TJIM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wholly owned subsidiary Bimini Advisors, LLC (an SEC-registered investment advisor referred to as “Bimini Advisors”) manages a mortgage-backed securities (“MBS”) portfolio for Orchid Island Capital, Inc. (“Orchid”) and receives fees for providing these services. Bimini Advisors also provides certain repurchase agreement trading, clearing and administrative services to Orchid. Bimini Advisors also manages the MBS portfolio of Royal Palm Capital LLC (including its subsidiaries, “Royal Palm”), another wholly owned subsidiary. Royal Palm maintains an investment portfolio, consisting primarily of residential MBS investments and shares of Orchid common stock, for its own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TJIM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the Company completed the acquisition of an 80% ownership stake in TJIM (the “TJIM Acquisition”), an SEC-registered investment adviser.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now operates as a diversified financial services and asset management platform providing discretionary and non-discretionary investment advisory services to institutional investors, high-net-worth individuals, retirement plans, subadvisor platforms, and foundations.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TJIM manages over $1.7 billion in regulatory assets under management across equity, fixed income, and balanced strategies. Operating as a fiduciary, TJIM provides discretionary portfolio management centered on fundamental research, high-quality security selection, and continuous risk oversight.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TJIM delivers investment strategies through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primary operational channels. For direct advisory clients - including individuals, high-net-worth families, retirement plans, foundations, and institutions - TJIM constructs customized Separately Managed Accounts ("SMAs") paired with dedicated personal service. TJIM also serves as a trusted </w:t>
      </w:r>
      <w:r>
        <w:rPr>
          <w:rStyle w:val="Emphasis"/>
          <w:rFonts w:ascii="Times New Roman" w:hAnsi="Times New Roman"/>
          <w:caps w:val="false"/>
          <w:smallCaps w:val="false"/>
          <w:sz w:val="20"/>
        </w:rPr>
        <w:t>third</w:t>
      </w:r>
      <w:r>
        <w:rPr>
          <w:rFonts w:ascii="Times New Roman" w:hAnsi="Times New Roman"/>
          <w:caps w:val="false"/>
          <w:smallCaps w:val="false"/>
          <w:sz w:val="20"/>
        </w:rPr>
        <w:t>-party asset manager on many of the industry’s prominent nationally distributed platforms, enabling financial advisors at broker-dealers, banks, insurance companies, and independent RIAs to complement their existing practices with TJIM’s time-tested strategies:</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70"/>
        <w:gridCol w:w="4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Core/Relative Value Stock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Diversified Stock Income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Fixed Income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Intermediate Fixed Income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TJIM Balanced Portfolios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Tax-Exempt Fixed Income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Short-Term Income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TJIM Asset Allocations Portfolios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TJIM is compensated primarily through asset-based management fees calculated as a percentage of assets under management.</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160" w:right="0" w:firstLine="180"/>
        <w:jc w:val="left"/>
        <w:rPr/>
      </w:pPr>
      <w:r>
        <w:rPr>
          <w:rFonts w:ascii="Times New Roman" w:hAnsi="Times New Roman"/>
          <w:caps w:val="false"/>
          <w:smallCaps w:val="false"/>
          <w:sz w:val="20"/>
        </w:rPr>
        <w:t xml:space="preserve">With the exception of the “Pro Forma Financial Information” included in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the financial information contained in these financial statements relating to TJIM takes into account only the results of operations and performance of TJIM after </w:t>
      </w:r>
      <w:r>
        <w:rPr>
          <w:rStyle w:val="Emphasis"/>
          <w:rFonts w:ascii="Times New Roman" w:hAnsi="Times New Roman"/>
          <w:caps w:val="false"/>
          <w:smallCaps w:val="false"/>
          <w:sz w:val="20"/>
        </w:rPr>
        <w:t>April 1, 2026.</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5</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operations are classified into three reportable segments: the asset management segment of Bimini Advisors, the asset management segment of TJIM, and the investment portfolio segment. These segments are evaluated by management in deciding how to allocate resources and in assessing performance. The accounting policies of the operating segments are the same as those of the Company’s except that inter-segment revenues and expenses are included in the presentation of segment results. For further information see Note </w:t>
      </w:r>
      <w:r>
        <w:rPr>
          <w:rStyle w:val="Emphasis"/>
          <w:rFonts w:ascii="Times New Roman" w:hAnsi="Times New Roman"/>
          <w:caps w:val="false"/>
          <w:smallCaps w:val="false"/>
          <w:sz w:val="2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accounts of Bimini Capital and its subsidiaries, as listed above. All inter-company accounts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include all of the information and footnotes required by GAAP for complete financial statements. In the opinion of management, all adjustments (consisting of normal recurring accruals) considered necessary for a fair statement of results for the interim periods are included.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year ending </w:t>
      </w:r>
      <w:r>
        <w:rPr>
          <w:rStyle w:val="Emphasis"/>
          <w:rFonts w:ascii="Times New Roman" w:hAnsi="Times New Roman"/>
          <w:caps w:val="false"/>
          <w:smallCaps w:val="false"/>
          <w:sz w:val="20"/>
        </w:rPr>
        <w:t xml:space="preserve"> December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consolidated balance sheet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has been derived from the audited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consolidated financial statements. For further information, refer to the financial statements and footnotes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Reclassifications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Beginning in the current period, the Company aggregated certain financial statement line items to enhance the presentation and readability of its consolidated financial statements. Comparative prior-period amounts have been conformed to the current presentation, where applicable. The aggregation of these line items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previously reported total assets, total liabilities, stockholders' equity, net income, earnings per share,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significantly differ from those estimates. Significant estimates affecting the accompanying consolidated financial statements include determining the value of and estimated useful lives of intangible assets, determining the fair values of MBS and the amounts of asset valuation allowances, determining the fair value of assets acquired and liabilities assumed in business combinations, including redeemable noncontrolling interests and deferred consideration, and the computation of the income tax provision or benefit and the deferred tax asset allowances recorded for each accounting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 variable interest entity (“VIE”) is consolidated by an enterprise if it is deemed the primary beneficiary of the VIE. The Company obtains interests in VIEs through its investments in MBS. The interests in these VIEs are passive in nature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result in the Company obtaining a controlling financial interest in these VIEs in the future. As a result,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 these VIEs and accounts for the interest in these VIEs as MBS. See Note </w:t>
      </w:r>
      <w:r>
        <w:rPr>
          <w:rStyle w:val="Emphasis"/>
          <w:rFonts w:ascii="Times New Roman" w:hAnsi="Times New Roman"/>
          <w:caps w:val="false"/>
          <w:smallCaps w:val="false"/>
          <w:sz w:val="20"/>
        </w:rPr>
        <w:t>3.</w:t>
      </w:r>
      <w:r>
        <w:rPr>
          <w:rFonts w:ascii="Times New Roman" w:hAnsi="Times New Roman"/>
          <w:caps w:val="false"/>
          <w:smallCaps w:val="false"/>
          <w:sz w:val="20"/>
        </w:rPr>
        <w:t> The maximum exposure to loss for these VIEs is the carrying value of the MBS.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Bimini Capital has a common share investment in a trust, Bimini Capital Trust II, (“BCTII”), used in connection with the issuance of Bimini Capital's junior subordinated notes. BCTII is a VIE, as the holders of the equity investment at risk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adequate decision-making ability over BCTII’s activities. Bimini Capital's investment was financed directly by BCTII as a result of its loan of the proceeds to Bimini Capital; therefore, that investment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equity investment at risk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variable interest.  Since Bimini Capital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primary beneficiary of BCTII,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consolidated the financial statements of BCTII into its consolidated financial statements, and this investment is accounted for on the equity method. See Note </w:t>
      </w:r>
      <w:r>
        <w:rPr>
          <w:rStyle w:val="Emphasis"/>
          <w:rFonts w:ascii="Times New Roman" w:hAnsi="Times New Roman"/>
          <w:caps w:val="false"/>
          <w:smallCaps w:val="false"/>
          <w:sz w:val="20"/>
        </w:rPr>
        <w:t>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pPr>
      <w:r>
        <w:rPr>
          <w:rFonts w:ascii="Times New Roman;Times;serif" w:hAnsi="Times New Roman;Times;serif"/>
          <w:sz w:val="20"/>
        </w:rPr>
        <w:t xml:space="preserve">- </w:t>
      </w:r>
      <w:r>
        <w:rPr>
          <w:rStyle w:val="Emphasis"/>
          <w:rFonts w:ascii="Times New Roman;Times;serif" w:hAnsi="Times New Roman;Times;serif"/>
          <w:sz w:val="20"/>
        </w:rPr>
        <w:t>6</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Cash and cash equivalents include cash on deposit with financial institutions and highly liquid investments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purchase. Restricted cash includes cash pledged as collateral for repurchase agreements and margin for derivative instruments. The following table presents the Company’s cash, cash equivalents and restricted cash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28" w:type="dxa"/>
          <w:left w:w="0" w:type="dxa"/>
          <w:bottom w:w="28" w:type="dxa"/>
          <w:right w:w="0" w:type="dxa"/>
        </w:tblCellMar>
      </w:tblPr>
      <w:tblGrid>
        <w:gridCol w:w="3665"/>
        <w:gridCol w:w="60"/>
        <w:gridCol w:w="138"/>
        <w:gridCol w:w="931"/>
        <w:gridCol w:w="60"/>
        <w:gridCol w:w="60"/>
        <w:gridCol w:w="167"/>
        <w:gridCol w:w="1262"/>
        <w:gridCol w:w="60"/>
      </w:tblGrid>
      <w:tr>
        <w:trPr/>
        <w:tc>
          <w:tcPr>
            <w:tcW w:w="3665"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38"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6,459,310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67"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62"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12,696,660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157,499</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262"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1,621,399</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665" w:type="dxa"/>
            <w:tcBorders>
              <w:bottom w:val="double" w:sz="6" w:space="0" w:color="000000"/>
            </w:tcBorders>
            <w:shd w:fill="CCEEFF" w:val="clear"/>
            <w:tcMar>
              <w:top w:w="0" w:type="dxa"/>
            </w:tcMar>
            <w:vAlign w:val="center"/>
          </w:tcPr>
          <w:p>
            <w:pPr>
              <w:pStyle w:val="TableContents"/>
              <w:bidi w:val="0"/>
              <w:spacing w:before="0" w:after="0"/>
              <w:ind w:left="180" w:right="0" w:hanging="180"/>
              <w:jc w:val="left"/>
              <w:rPr>
                <w:rFonts w:ascii="Times New Roman" w:hAnsi="Times New Roman"/>
                <w:b/>
                <w:caps w:val="false"/>
                <w:smallCaps w:val="false"/>
                <w:sz w:val="18"/>
              </w:rPr>
            </w:pPr>
            <w:r>
              <w:rPr>
                <w:rFonts w:ascii="Times New Roman" w:hAnsi="Times New Roman"/>
                <w:b/>
                <w:caps w:val="false"/>
                <w:smallCaps w:val="false"/>
                <w:sz w:val="18"/>
              </w:rPr>
              <w:t>Total cash, cash equivalents and restricted cash</w:t>
            </w:r>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6,616,809</w:t>
            </w:r>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62"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14,318,059</w:t>
            </w:r>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maintains cash balances at several banks and excess margin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exchange clearing member. At times, balances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federally insured limits.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balances. Restricted cash balances are uninsured, but are held in separate accounts that are segregated from the general funds of the counterparty. The Company limits uninsured balances to only large, well-known banks and exchange clearing members and believes that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significant credit risk on cash and cash equivalents or restricted cash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Bimini Advisors manages and advises Orchid pursuant to the terms of a management agreement.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Under the terms of the management agreement, Orchid is obligated to pay Bimini Advisors a monthly management fee and a pro rata portion of certain overhead costs and to reimburse the Company for any direct expenses incurred on its behalf. Revenues from management fees are recognized over the period of time in which the service is performed.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TJIM provides discretionary and non-discretionary investment advisory services to institutional investors, high-net-worth individuals, retirement plans, subadvisor platforms, and foundations. See Note </w:t>
      </w:r>
      <w:r>
        <w:rPr>
          <w:rStyle w:val="Emphasis"/>
          <w:rFonts w:ascii="Times New Roman" w:hAnsi="Times New Roman"/>
          <w:caps w:val="false"/>
          <w:smallCaps w:val="false"/>
          <w:sz w:val="20"/>
        </w:rPr>
        <w:t>2.</w:t>
      </w:r>
      <w:r>
        <w:rPr>
          <w:rFonts w:ascii="Times New Roman" w:hAnsi="Times New Roman"/>
          <w:caps w:val="false"/>
          <w:smallCaps w:val="false"/>
          <w:sz w:val="20"/>
        </w:rPr>
        <w:t>  Advisory service fee income is earned pursuant to investment advisory agreements and is generally calculated as a percentage of assets under management.  Revenue is recognized over time as investment management services are provided.  Fees are generally received in arrears.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Accounts receivable consist primarily of investment advisory, asset management, and other fee-based revenues earned in the ordinary course of business. Receivables are recorded when the Company's right to consideration becomes unconditional and are presented net of an allowance for expected credit losses. The Company maintains an allowance for expected credit losses in accordance with Accounting Standards Codification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w:t>
      </w:r>
      <w:r>
        <w:rPr>
          <w:rFonts w:ascii="Times New Roman" w:hAnsi="Times New Roman"/>
          <w:caps w:val="false"/>
          <w:smallCaps w:val="false"/>
          <w:sz w:val="20"/>
        </w:rPr>
        <w:t xml:space="preserve">. The allowance reflects management's estimate of lifetime expected credit losses and is based on historical loss experience, the aging of outstanding receivables, the financial condition and payment history of customers, current economic conditions, and reasonable and supportable forecasts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collectability. Investment advisory fee receivables are generally short-term in nature and are collected pursuant to contractual arrangements with clients or directly from client investment accounts maintained by qualified custodians. As a result, the Company has historically experienced minimal credit losses on these receivables. As such,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 allowance for credit losses. Management evaluates the adequacy of the allowance on a recurring basis and adjusts the allowance, as necessary, based on changes in facts and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Accounts receivable are written off when management determines that collection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after considering all available information and collection efforts. Any subsequent recoveries of amounts previously written off are recorded as a reduction of credit loss expense in the period collected.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Because substantially all accounts receivable arise from contractual fee arrangements with investment advisory clients and are generally collected within a relatively short period, the Company believes that its exposure to credit risk is limited.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generally require collateral from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Times;serif" w:hAnsi="Times New Roman;Times;serif"/>
          <w:sz w:val="20"/>
        </w:rPr>
        <w:t xml:space="preserve">- </w:t>
      </w:r>
      <w:r>
        <w:rPr>
          <w:rStyle w:val="Emphasis"/>
          <w:rFonts w:ascii="Times New Roman;Times;serif" w:hAnsi="Times New Roman;Times;serif"/>
          <w:sz w:val="20"/>
        </w:rPr>
        <w:t>7</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Mortgage-Backed Securities and U.S.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investment portfolio is invested primarily in common shares of Orchid and mortgage pass-through (“PT”) MBS issued by Freddie Mac, Fannie Mae or Ginnie Mae, collateralized mortgage obligations (“CMOs”), interest-only (“IO”) securities and inverse interest-only (“IIO”) securities representing interests in or obligations backed by pools of mortgage-backed loans. The Company refers to MBS and CMOs as PT MBS and IO and IIO securities as structured MBS. The Company also invests in U.S. Treasury Notes. The Company has elected to account for its investment in MBS and U.S. Treasury Notes under the fair value option. Electing the fair value option requires the Company to record changes in fair value in the consolidated statement of operations, which, in management’s view, more appropriately reflects the results of the Company’s operations for a particular reporting period and is consistent with the underlying economics and how the portfolio is managed.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records securities transactions on the trade date. Security purchases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included in the portfolio balance with an offsetting liability recorded, whereas securities sold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removed from the portfolio balance with an offsetting receivable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MBS and U.S. Treasury Notes are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-party broker quotes, when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Income on PT MBS and U.S. Treasury Notes is based on the stated interest rate of the security. Premiums or discounts present at the date of purchase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Premium loss and discount accretion resulting from monthly principal repayments are reflected in unrealized gains and losses on MBS in the consolidated statements of operations.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Changes in fair value of MBS during each reporting period are recorded in earnings and reported as unrealized gains or losses on MBS in the accompanying consolidated statements of operations. The amount reported as unrealized gains or losses on MBS thus captures the net effect of changes in the fair market value of securities caused by market developments and any premium or discount lost as a result of principal repayments during the period. Realized gains and losses on sales of MBS, using the specific identification method, are reported as a separate component of net portfolio income on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Orchid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accounts for its investment in Orchid common shares at fair value. The change in the fair value and dividends received on this investment are reflected in the consolidated statements of operations for each reporting period. We estimate the fair value of Orchid’s common shares on a market approach using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based on the quoted market price of Orchid’s common stock on a national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has historically used derivative instruments to manage interest rate risk, facilitate asset/liability strategies and manage other exposures, and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do so in the future. The principal instruments that the Company has used are interest rate futures contracts, and “to-be-announced” (“TBA”) securities transactions. The Company accounts for TBA securities as derivative instruments. Other types of derivative instruments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in the future. Gains and losses associated with derivative transactions are reported in gain (loss) on derivative instruments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Derivative instruments are carried at fair value, and changes in fair value are recorded in the consolidated operations for each period. The Company’s derivative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 of derivatives, including current period net cash settlements on interest rate swaps, are classified as an investing activity on the statements of cash flows. The Company's derivative agreements generally contain provisions that allow for netting or setting off derivative assets and liabilities with the counterparty; however, related assets and liabilities are reported on a gross basis in the Company's consolidated balance sheets. Derivative instruments in a gain position, if any, are reported as derivative assets at fair value and derivative instruments in a loss position, if any, are reported as derivative liabilities at fair value in the consolidated balance sheets.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8</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Holding derivatives creates exposure to credit risk related to the potential for failure by counterparties to honor their commitments. In the event of default by a counterparty,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difficulty recovering its collateral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 The Company’s futures contracts are exchange traded contracts that are valued based on exchange pricing with daily margin requirements. The margin requirement varies based on the market value of the open position and the equity retained in the account. Margin posted is treated as settlement of the outstanding value of the futures contract. Any margin excess or deficit outstanding is recorded as a receivable or payable as of the date of the Company’s balance sheets. The Company realizes gains and losses on these contracts upon expiration equal to the difference between the current fair value of the underlying asset and the contractual price of the futures contract.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fair value of financial instruments is disclosed either in the body of the consolidated financial statements or in the accompanying notes. MBS, U.S. Treasury Notes, Orchid common stock, and derivative assets and liabilities are accounted for at fair value in the consolidated balance sheets. The methods and assumptions used to estimate fair value for these instruments are presented in Note </w:t>
      </w:r>
      <w:r>
        <w:rPr>
          <w:rStyle w:val="Emphasis"/>
          <w:rFonts w:ascii="Times New Roman" w:hAnsi="Times New Roman"/>
          <w:caps w:val="false"/>
          <w:smallCaps w:val="false"/>
          <w:sz w:val="2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Property and equipment, net, consists of computer equipment with a depreciable life of three years, office furniture and equipment with depreciable lives of eight to 20 years, land which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depreciable life, and our building and its improvements with depreciable lives of 30 years. Property and equipment is recorded at acquisition cost and depreciated to their respective salvage values using the straight-line method over the estimated useful lives of the assets. Depreciation is included in administrative and other expenses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finances the acquisition of the majority of its PT 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Basic earnings per share ("EPS") is calculated as income available to common stockholders divided by the weighted average number of common shares outstanding during the period. Diluted EPS is calculated using the treasury stock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applicable for common stock equivalents. However, the common stock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computing diluted EPS if the result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Outstanding shares of Class B Common Stock, participating and convertible into Class A Common Stock, are entitled to receive dividends in an amount equal to the dividends declared, if any, on each share of Class A Common Stock. Accordingly, shares of the Class B Common Stock are included in the computation of basic EPS using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and, consequently, are presented separately from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shares of Class C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basic EPS computation as these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participation rights. The outstanding shares of Class B and Class C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Class A Common Stock as the conditions for conversion into shares of Class A Common Stock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Any accretion or other adjustment to the redeemable noncontrolling interests is reflected as an adjustment to retained earnings, or in the absence of retained earnings, additional paid-in capital, and reduces income available to common stockholders for EPS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Income taxes are provided for using the asset and liability method. Deferred tax assets and liabilities represent the differences between the financial statement and income tax bases of assets and liabilities using enacted tax rates. The measurement of net deferred tax assets is adjusted by a valuation allowance if, based on the Company’s evaluation,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fully realized in future accounting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9</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Company’s U.S. federal income tax returns for years ended on or after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remain open for examination. Although management believes its calculations for tax returns are correct and the positions taken thereon are reasonable, the final outcome of a tax examination, should it occur, could be materially different from the tax returns filed by the Company, and those differences could result in significant costs or benefits to the Company. Bimini Capital and its includable subsidiaries, and Royal Palm and its includable subsidiaries, file their tax returns as separate tax paying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assesses the likelihood, based on their technical merit, that uncertain tax positions will be sustained during a tax examination based on the facts, circumstances and information available. The measurement of uncertain tax positions is adjusted when new information is available, or when an event occurs that requires a change. The Company recognizes tax positions in the consolidated financial statements only when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position will be sustained upon examination by the relevant taxing authority based on the technical merits of the position. A position that meets this standard is measured at the largest amount of benefit that will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upon settlement. The difference between the benefit recognized and the tax benefit claimed on a tax return is referred to as an unrecognized tax benefit and is recorded as a liability in the consolidated balance sheets. The Company has recorded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liabilities. The Company records income tax-related interest and penalties, if applicable, within the income tax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Business Combinations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Mergers and acquisitions are accounted for using the acquisition method of accounting. Assets and liabilities acquired and assumed are recorded at their fair values as of the date of the transaction. The excess of purchase price over the fair value of assets acquired and liabilities assumed is recorded as goodwill. Subsequent adjustments to provisional fair value amounts that are identified in reporting periods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acquisition date in a business combination are recognized in the reporting period in which the adjustment amounts are determined. Significant estimates and judgments are involved in the fair valuation and purchase price allocation process. Results of operations of the acquired business are included in the statement of operations from the effective date of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Redeemable Noncontrolling Interests ("NCI")</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Under the terms of TJIM's governing documents and subject to certain conditions, the Company has a call option to purchase the remaining interests from the minority owner (i.e., noncontrolling interests) and the minority owner has a put option to sell all of its interests to the Company for 50% of the redemption price (to be determined using the formula used to determine the purchase price paid by the Company in connection with the TJIM Acquisition) in cash at the closing of such redemption and 50% in a </w:t>
      </w:r>
      <w:r>
        <w:rPr>
          <w:rStyle w:val="Emphasis"/>
          <w:rFonts w:ascii="Times New Roman" w:hAnsi="Times New Roman"/>
          <w:caps w:val="false"/>
          <w:smallCaps w:val="false"/>
          <w:sz w:val="20"/>
        </w:rPr>
        <w:t>36</w:t>
      </w:r>
      <w:r>
        <w:rPr>
          <w:rFonts w:ascii="Times New Roman" w:hAnsi="Times New Roman"/>
          <w:caps w:val="false"/>
          <w:smallCaps w:val="false"/>
          <w:sz w:val="20"/>
        </w:rPr>
        <w:t>-month promissory note bearing interest at the prime lending rate. Because the exercise of the put option is outside the control of the Company, the redeemable NCI is recorded in the mezzanine section of its consolidated balance sheets.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redeemable NCI is carried at the higher of the carrying amount – reflecting the Sellers share of net income/loss, other comprehensive income/loss, and distributions – or the applicable redemption value. The change in carrying value of the redeemable NCI is recorded as an offset to retained earnings, with a corresponding impact on earnings per share. Upon exercise of the call or put options, any difference between the consideration paid and carrying value of the redeemable NCI is recorded as an adjustment to additional paid-in capital.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sz w:val="20"/>
        </w:rPr>
      </w:pPr>
      <w:r>
        <w:rPr>
          <w:b/>
          <w:sz w:val="20"/>
        </w:rPr>
        <w:t>Goodwill</w:t>
      </w:r>
      <w:r>
        <w:rPr>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Goodwill represents the excess of the cost of an acquisition over the fair value of the net assets acquired. Goodwill is subject to impairment testing at the reporting unit level, which is conducted at least annually or when events or changes in circumstances indicate the goodwill might be impaired. The Company performs a qualitative assessment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If, after assessing updated qualitative factors, the Company determines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it performs a quantitative goodwill impairment test. Determining the fair value of a reporting unit requires judgment and often involves the use of significant estimates and assumptions. Similarly, estimates and assumptions are used in determining the fair value of other intangible assets. Estimates of fair value are primarily determined using discounted cash flows, market comparisons and recent transactions.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sz w:val="20"/>
        </w:rPr>
      </w:pPr>
      <w:r>
        <w:rPr>
          <w:b/>
          <w:sz w:val="20"/>
        </w:rPr>
        <w:t>Intangible Assets</w:t>
      </w:r>
      <w:r>
        <w:rPr>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Intangible assets are carried at cost less accumulated amortization. Intangible assets are amortized using the straight-line methods over their estimated useful lives. For finite-lived intangible assets, if potential impairment circumstances are considered to exist, the Company will perform a recoverability test using an undiscounted cash flow analysis. If the carrying value of the asset is greater than the total undiscounted cash flows, the difference between the carrying value of the asset and its current fair value would be recognized as an expense in the period in which the impairment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10</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measure the fair value of intangible assets acquired in the TJIM Acquisition, various measurement techniques were used including the relief-from-royalty method for the acquired tradename and the multi-period excess earnings method for the acquired client relationships.</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Deferred Consideration</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records deferred consideration relating to business combinations in other liabilities on the balance sheet with a corresponding increase to the purchase price at its acquisition date fair value. Because the deferred amount is fixed and payable after a stated period,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future performance. Any difference between the present value recognized at the acquisition date and the ultimate cash payment is recognized as interest expense over the deferral period using the effective interest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the Company adopted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w:t>
      </w:r>
      <w:r>
        <w:rPr>
          <w:rFonts w:ascii="Times New Roman" w:hAnsi="Times New Roman"/>
          <w:i/>
          <w:caps w:val="false"/>
          <w:smallCaps w:val="false"/>
          <w:sz w:val="20"/>
        </w:rPr>
        <w:t>Improvements to Income Tax Disclosures,</w:t>
      </w:r>
      <w:r>
        <w:rPr>
          <w:rFonts w:ascii="Times New Roman" w:hAnsi="Times New Roman"/>
          <w:caps w:val="false"/>
          <w:smallCaps w:val="false"/>
          <w:sz w:val="20"/>
        </w:rPr>
        <w:t xml:space="preserve"> which requires, among other things, greater disaggregation of information in the income tax rate reconciliation and for paid income taxes to be disaggregated by jurisdiction. 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on a retrospective basis, and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impact on the financial statements or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Financial Accounting Standards Board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The amendments in the ASU require disclosures about specific types of expenses included in the expense captions presented on the Consolidated Statements of Income, as well as disclosures about selling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fiscal years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We are currently evaluating the impact of adoption on our financial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Purchased Loans</w:t>
      </w:r>
      <w:r>
        <w:rPr>
          <w:rFonts w:ascii="Times New Roman" w:hAnsi="Times New Roman"/>
          <w:caps w:val="false"/>
          <w:smallCaps w:val="false"/>
          <w:sz w:val="20"/>
        </w:rPr>
        <w:t xml:space="preserve">. The amendments expand the population of acquired financial assets subject to the gross-up approach under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to include certain purchased seasoned loans that are acquired without evidence of credit deterioration. Under the amended guidance, an allowance for expected credit losses is recognized at the acquisition date as an adjustment to the amortized cost basis of qualifying purchased loans, rather than through current-period credit loss expense. The amendments are intended to improve comparability between the accounting for purchased credit deteriorated loans and other qualifying acquired loans. The amendments 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are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including interim reporting periods within those annual reporting periods, with early adoption permitted. The standard is to be applied prospectively to qualifying loans acquired on or after the date of adoption.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Because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originate or routinely acquire loan portfolios as part of its normal business operations,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expect the adoption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to have a material impact on its consolidated financial statements or related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Bimini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Bimini Advisors serves as the manager and advisor for Orchid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Orchid's board of directors and has only such functions and authority as delegated to it. Bimini Advisors receives a monthly management fee in the amount of:</w:t>
      </w:r>
    </w:p>
    <w:p>
      <w:pPr>
        <w:pStyle w:val="TextBody"/>
        <w:bidi w:val="0"/>
        <w:spacing w:before="0" w:after="0"/>
        <w:ind w:left="0" w:right="0" w:firstLine="36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170"/>
        <w:gridCol w:w="9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3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One-twelfth of 1.50% of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$250</w:t>
            </w:r>
            <w:r>
              <w:rPr>
                <w:rFonts w:ascii="Times New Roman;Times;serif" w:hAnsi="Times New Roman;Times;serif"/>
                <w:caps w:val="false"/>
                <w:smallCaps w:val="false"/>
                <w:sz w:val="20"/>
              </w:rPr>
              <w:t xml:space="preserve"> million of Orchid’s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One-twelfth of 1.25% of Orchid’s month-end equity that is greater than </w:t>
            </w:r>
            <w:r>
              <w:rPr>
                <w:rStyle w:val="Emphasis"/>
                <w:rFonts w:ascii="Times New Roman;Times;serif" w:hAnsi="Times New Roman;Times;serif"/>
                <w:caps w:val="false"/>
                <w:smallCaps w:val="false"/>
                <w:sz w:val="20"/>
              </w:rPr>
              <w:t>$250</w:t>
            </w:r>
            <w:r>
              <w:rPr>
                <w:rFonts w:ascii="Times New Roman;Times;serif" w:hAnsi="Times New Roman;Times;serif"/>
                <w:caps w:val="false"/>
                <w:smallCaps w:val="false"/>
                <w:sz w:val="20"/>
              </w:rPr>
              <w:t xml:space="preserve"> million and less than or equal to </w:t>
            </w:r>
            <w:r>
              <w:rPr>
                <w:rStyle w:val="Emphasis"/>
                <w:rFonts w:ascii="Times New Roman;Times;serif" w:hAnsi="Times New Roman;Times;serif"/>
                <w:caps w:val="false"/>
                <w:smallCaps w:val="false"/>
                <w:sz w:val="20"/>
              </w:rPr>
              <w:t>$500</w:t>
            </w:r>
            <w:r>
              <w:rPr>
                <w:rFonts w:ascii="Times New Roman;Times;serif" w:hAnsi="Times New Roman;Times;serif"/>
                <w:caps w:val="false"/>
                <w:smallCaps w:val="false"/>
                <w:sz w:val="20"/>
              </w:rPr>
              <w:t xml:space="preserve"> million, and</w:t>
            </w:r>
          </w:p>
        </w:tc>
      </w:tr>
    </w:tbl>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One-twelfth of 1.00% of Orchid’s month-end equity that is greater than </w:t>
            </w:r>
            <w:r>
              <w:rPr>
                <w:rStyle w:val="Emphasis"/>
                <w:rFonts w:ascii="Times New Roman;Times;serif" w:hAnsi="Times New Roman;Times;serif"/>
                <w:caps w:val="false"/>
                <w:smallCaps w:val="false"/>
                <w:sz w:val="20"/>
              </w:rPr>
              <w:t>$500</w:t>
            </w:r>
            <w:r>
              <w:rPr>
                <w:rFonts w:ascii="Times New Roman;Times;serif" w:hAnsi="Times New Roman;Times;serif"/>
                <w:caps w:val="false"/>
                <w:smallCaps w:val="false"/>
                <w:sz w:val="20"/>
              </w:rPr>
              <w:t xml:space="preserve">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also provides certain repurchase agreement trading, clearing and administrative services to Orchid. In consideration for such services, Orchid pays the following fees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11</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a daily fee equal to the outstanding principal balance of repurchase agreement funding in place as of the end of such day multiplied by 1.5 basis points for the amount of aggregate outstanding principal balance less than or equal to </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 xml:space="preserve"> billion, and multiplied by 1.0 basis point for any amount of aggregate outstanding principal balance in excess of </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 xml:space="preserve"> billion, and</w:t>
            </w:r>
          </w:p>
        </w:tc>
      </w:tr>
    </w:tbl>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fee for the clearing and operational services provided by personnel of the Manager equal to $10,000 per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Orchid is obligated to reimburse Bimini Advisors for any direct expenses incurred on its behalf and to pay to Bimini Advisors an amount equal to Orchid's pro rata portion of certain overhead costs set forth in the management agreement. Orchid is required to pay Bimini Advisors by the </w:t>
      </w:r>
      <w:r>
        <w:rPr>
          <w:rStyle w:val="Emphasis"/>
          <w:rFonts w:ascii="Times New Roman" w:hAnsi="Times New Roman"/>
          <w:caps w:val="false"/>
          <w:smallCaps w:val="false"/>
          <w:sz w:val="20"/>
        </w:rPr>
        <w:t>15th</w:t>
      </w:r>
      <w:r>
        <w:rPr>
          <w:rFonts w:ascii="Times New Roman" w:hAnsi="Times New Roman"/>
          <w:caps w:val="false"/>
          <w:smallCaps w:val="false"/>
          <w:sz w:val="20"/>
        </w:rPr>
        <w:t xml:space="preserve"> day of the month following the month the services are performed. The management agreement has been renewed through </w:t>
      </w:r>
      <w:r>
        <w:rPr>
          <w:rStyle w:val="Emphasis"/>
          <w:rFonts w:ascii="Times New Roman" w:hAnsi="Times New Roman"/>
          <w:caps w:val="false"/>
          <w:smallCaps w:val="false"/>
          <w:sz w:val="20"/>
        </w:rPr>
        <w:t>February 20, 2027 </w:t>
      </w:r>
      <w:r>
        <w:rPr>
          <w:rFonts w:ascii="Times New Roman" w:hAnsi="Times New Roman"/>
          <w:caps w:val="false"/>
          <w:smallCaps w:val="false"/>
          <w:sz w:val="20"/>
        </w:rPr>
        <w:t>and provides for automatic one-year extension options thereafter. Should Orchid terminate the management agreement without cause, it will be obligated to pay Bimini Advisors a termination fee equal to three times the average annual management fee, as defined in the management agreement, before or on the last day of the applicable renewal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summarizes the advisory services revenue from Orchid for the six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firstLine="360"/>
        <w:jc w:val="left"/>
        <w:rPr>
          <w:caps w:val="false"/>
          <w:smallCaps w:val="false"/>
        </w:rPr>
      </w:pPr>
      <w:r>
        <w:rPr>
          <w:caps w:val="false"/>
          <w:smallCaps w:val="false"/>
        </w:rPr>
        <w:t>  </w:t>
      </w:r>
    </w:p>
    <w:tbl>
      <w:tblPr>
        <w:tblW w:w="7716" w:type="dxa"/>
        <w:jc w:val="left"/>
        <w:tblInd w:w="0" w:type="dxa"/>
        <w:tblLayout w:type="fixed"/>
        <w:tblCellMar>
          <w:top w:w="0" w:type="dxa"/>
          <w:left w:w="0" w:type="dxa"/>
          <w:bottom w:w="28" w:type="dxa"/>
          <w:right w:w="0" w:type="dxa"/>
        </w:tblCellMar>
      </w:tblPr>
      <w:tblGrid>
        <w:gridCol w:w="3080"/>
        <w:gridCol w:w="60"/>
        <w:gridCol w:w="180"/>
        <w:gridCol w:w="846"/>
        <w:gridCol w:w="98"/>
        <w:gridCol w:w="98"/>
        <w:gridCol w:w="180"/>
        <w:gridCol w:w="698"/>
        <w:gridCol w:w="60"/>
        <w:gridCol w:w="60"/>
        <w:gridCol w:w="212"/>
        <w:gridCol w:w="821"/>
        <w:gridCol w:w="115"/>
        <w:gridCol w:w="115"/>
        <w:gridCol w:w="212"/>
        <w:gridCol w:w="821"/>
        <w:gridCol w:w="60"/>
      </w:tblGrid>
      <w:tr>
        <w:trPr/>
        <w:tc>
          <w:tcPr>
            <w:tcW w:w="30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6" w:type="dxa"/>
            <w:tcBorders>
              <w:bottom w:val="single" w:sz="2" w:space="0" w:color="000000"/>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6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jc w:val="left"/>
              <w:rPr/>
            </w:pPr>
            <w:r>
              <w:rPr/>
              <w:t> </w:t>
            </w:r>
          </w:p>
        </w:tc>
        <w:tc>
          <w:tcPr>
            <w:tcW w:w="821"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jc w:val="left"/>
              <w:rPr/>
            </w:pPr>
            <w:r>
              <w:rPr/>
              <w:t> </w:t>
            </w:r>
          </w:p>
        </w:tc>
        <w:tc>
          <w:tcPr>
            <w:tcW w:w="82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0"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6"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98" w:type="dxa"/>
            <w:tcBorders>
              <w:bottom w:val="single" w:sz="2" w:space="0" w:color="000000"/>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Management fee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8,112</w:t>
            </w:r>
          </w:p>
        </w:tc>
        <w:tc>
          <w:tcPr>
            <w:tcW w:w="98"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4,124</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w:t>
            </w:r>
          </w:p>
        </w:tc>
        <w:tc>
          <w:tcPr>
            <w:tcW w:w="98"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pPr>
            <w:r>
              <w:rPr/>
              <w:t> </w:t>
            </w:r>
          </w:p>
        </w:tc>
        <w:tc>
          <w:tcPr>
            <w:tcW w:w="8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pPr>
            <w:r>
              <w:rPr/>
              <w:t> </w:t>
            </w:r>
          </w:p>
        </w:tc>
        <w:tc>
          <w:tcPr>
            <w:tcW w:w="8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clearing and administrative fee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w:t>
            </w:r>
          </w:p>
        </w:tc>
        <w:tc>
          <w:tcPr>
            <w:tcW w:w="98" w:type="dxa"/>
            <w:tcBorders>
              <w:bottom w:val="single" w:sz="2" w:space="0" w:color="000000"/>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w:t>
            </w:r>
          </w:p>
        </w:tc>
        <w:tc>
          <w:tcPr>
            <w:tcW w:w="115" w:type="dxa"/>
            <w:tcBorders>
              <w:bottom w:val="single" w:sz="2" w:space="0" w:color="000000"/>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0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REIT management fees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10,205</w:t>
            </w:r>
          </w:p>
        </w:tc>
        <w:tc>
          <w:tcPr>
            <w:tcW w:w="98" w:type="dxa"/>
            <w:tcBorders>
              <w:bottom w:val="double" w:sz="6" w:space="0" w:color="000000"/>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9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5,078</w:t>
            </w:r>
          </w:p>
        </w:tc>
        <w:tc>
          <w:tcPr>
            <w:tcW w:w="115" w:type="dxa"/>
            <w:tcBorders>
              <w:bottom w:val="double" w:sz="6" w:space="0" w:color="000000"/>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net amount due from Orchid was approximately $1.8 million and $1.7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180"/>
        <w:jc w:val="both"/>
        <w:rPr>
          <w:rFonts w:ascii="Times New Roman" w:hAnsi="Times New Roman"/>
          <w:b/>
          <w:caps w:val="false"/>
          <w:smallCaps w:val="false"/>
          <w:sz w:val="20"/>
        </w:rPr>
      </w:pPr>
      <w:r>
        <w:rPr>
          <w:rFonts w:ascii="Times New Roman" w:hAnsi="Times New Roman"/>
          <w:b/>
          <w:caps w:val="false"/>
          <w:smallCaps w:val="false"/>
          <w:sz w:val="20"/>
        </w:rPr>
        <w:t>TJIM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TJIM provides discretionary and non-discretionary investment advisory services to institutional investors, high-net-worth individuals, retirement plans, subadvisor platforms, and foundations.</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TJIM generates revenue primarily from asset-based management fees calculated as a percentage of assets under management.</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Management fees are generally calculated as a percentage of AUM and are affected by market conditions, investor inflows and outflows, investment performance, and client retention.</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160" w:right="0" w:firstLine="180"/>
        <w:jc w:val="left"/>
        <w:rPr/>
      </w:pPr>
      <w:r>
        <w:rPr>
          <w:rFonts w:ascii="Times New Roman" w:hAnsi="Times New Roman"/>
          <w:caps w:val="false"/>
          <w:smallCaps w:val="false"/>
          <w:sz w:val="20"/>
        </w:rPr>
        <w:t>The following table summarizes advisory services revenue for TJIM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w:t>
      </w:r>
      <w:r>
        <w:rPr>
          <w:rStyle w:val="Emphasis"/>
          <w:rFonts w:ascii="Times New Roman" w:hAnsi="Times New Roman"/>
          <w:caps w:val="false"/>
          <w:smallCaps w:val="false"/>
          <w:sz w:val="20"/>
        </w:rPr>
        <w:t>June 30, 2026.</w:t>
      </w:r>
    </w:p>
    <w:p>
      <w:pPr>
        <w:pStyle w:val="TextBody"/>
        <w:bidi w:val="0"/>
        <w:spacing w:before="0" w:after="0"/>
        <w:ind w:left="16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2180"/>
        <w:gridCol w:w="60"/>
        <w:gridCol w:w="110"/>
        <w:gridCol w:w="425"/>
        <w:gridCol w:w="60"/>
      </w:tblGrid>
      <w:tr>
        <w:trPr/>
        <w:tc>
          <w:tcPr>
            <w:tcW w:w="21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programs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Sub-advisor programs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 programs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1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investment advisory fees</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MORTGAGE-BACKED SECURITIES AND U.S.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the Company’s MBS portfolio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4007" w:type="dxa"/>
        <w:jc w:val="left"/>
        <w:tblInd w:w="0" w:type="dxa"/>
        <w:tblLayout w:type="fixed"/>
        <w:tblCellMar>
          <w:top w:w="0" w:type="dxa"/>
          <w:left w:w="0" w:type="dxa"/>
          <w:bottom w:w="28" w:type="dxa"/>
          <w:right w:w="0" w:type="dxa"/>
        </w:tblCellMar>
      </w:tblPr>
      <w:tblGrid>
        <w:gridCol w:w="1415"/>
        <w:gridCol w:w="60"/>
        <w:gridCol w:w="135"/>
        <w:gridCol w:w="634"/>
        <w:gridCol w:w="60"/>
        <w:gridCol w:w="60"/>
        <w:gridCol w:w="111"/>
        <w:gridCol w:w="523"/>
        <w:gridCol w:w="60"/>
        <w:gridCol w:w="60"/>
        <w:gridCol w:w="146"/>
        <w:gridCol w:w="683"/>
        <w:gridCol w:w="60"/>
      </w:tblGrid>
      <w:tr>
        <w:trPr/>
        <w:tc>
          <w:tcPr>
            <w:tcW w:w="14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63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52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jc w:val="left"/>
              <w:rPr/>
            </w:pPr>
            <w:r>
              <w:rPr/>
              <w:t> </w:t>
            </w:r>
          </w:p>
        </w:tc>
        <w:tc>
          <w:tcPr>
            <w:tcW w:w="68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15,985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86,293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87,266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pPr>
            <w:r>
              <w:rPr>
                <w:rFonts w:ascii="Times New Roman;Times;serif" w:hAnsi="Times New Roman;Times;serif"/>
                <w:sz w:val="18"/>
              </w:rPr>
              <w:t>(</w:t>
            </w:r>
            <w:r>
              <w:rPr>
                <w:rStyle w:val="Emphasis"/>
                <w:rFonts w:ascii="Times New Roman;Times;serif" w:hAnsi="Times New Roman;Times;serif"/>
                <w:sz w:val="18"/>
              </w:rPr>
              <w:t>1</w:t>
            </w:r>
            <w:r>
              <w:rPr>
                <w:rFonts w:ascii="Times New Roman;Times;serif" w:hAnsi="Times New Roman;Times;serif"/>
                <w:sz w:val="18"/>
              </w:rPr>
              <w:t>)</w:t>
            </w:r>
          </w:p>
        </w:tc>
        <w:tc>
          <w:tcPr>
            <w:tcW w:w="99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cost information in the table above represents the aggregate current par value, multiplied by the purchase price of each security in the portfolio.</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12</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the Company’s U.S. Treasury Note portfolio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267" w:type="dxa"/>
        <w:jc w:val="left"/>
        <w:tblInd w:w="0" w:type="dxa"/>
        <w:tblLayout w:type="fixed"/>
        <w:tblCellMar>
          <w:top w:w="0" w:type="dxa"/>
          <w:left w:w="0" w:type="dxa"/>
          <w:bottom w:w="28" w:type="dxa"/>
          <w:right w:w="0" w:type="dxa"/>
        </w:tblCellMar>
      </w:tblPr>
      <w:tblGrid>
        <w:gridCol w:w="2870"/>
        <w:gridCol w:w="60"/>
        <w:gridCol w:w="161"/>
        <w:gridCol w:w="623"/>
        <w:gridCol w:w="60"/>
        <w:gridCol w:w="60"/>
        <w:gridCol w:w="116"/>
        <w:gridCol w:w="308"/>
        <w:gridCol w:w="60"/>
        <w:gridCol w:w="60"/>
        <w:gridCol w:w="227"/>
        <w:gridCol w:w="602"/>
        <w:gridCol w:w="60"/>
      </w:tblGrid>
      <w:tr>
        <w:trPr/>
        <w:tc>
          <w:tcPr>
            <w:tcW w:w="28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vAlign w:val="center"/>
          </w:tcPr>
          <w:p>
            <w:pPr>
              <w:pStyle w:val="TableContents"/>
              <w:bidi w:val="0"/>
              <w:spacing w:before="0" w:after="283"/>
              <w:jc w:val="left"/>
              <w:rPr/>
            </w:pPr>
            <w:r>
              <w:rPr/>
              <w:t> </w:t>
            </w:r>
          </w:p>
        </w:tc>
        <w:tc>
          <w:tcPr>
            <w:tcW w:w="161" w:type="dxa"/>
            <w:tcBorders>
              <w:bottom w:val="single" w:sz="2" w:space="0" w:color="000000"/>
            </w:tcBorders>
            <w:vAlign w:val="center"/>
          </w:tcPr>
          <w:p>
            <w:pPr>
              <w:pStyle w:val="TableContents"/>
              <w:bidi w:val="0"/>
              <w:spacing w:before="0" w:after="283"/>
              <w:jc w:val="left"/>
              <w:rPr/>
            </w:pPr>
            <w:r>
              <w:rPr/>
              <w:t> </w:t>
            </w:r>
          </w:p>
        </w:tc>
        <w:tc>
          <w:tcPr>
            <w:tcW w:w="623"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6" w:type="dxa"/>
            <w:tcBorders>
              <w:bottom w:val="single" w:sz="2" w:space="0" w:color="000000"/>
            </w:tcBorders>
            <w:vAlign w:val="center"/>
          </w:tcPr>
          <w:p>
            <w:pPr>
              <w:pStyle w:val="TableContents"/>
              <w:bidi w:val="0"/>
              <w:spacing w:before="0" w:after="283"/>
              <w:jc w:val="left"/>
              <w:rPr/>
            </w:pPr>
            <w:r>
              <w:rPr/>
              <w:t> </w:t>
            </w:r>
          </w:p>
        </w:tc>
        <w:tc>
          <w:tcPr>
            <w:tcW w:w="308"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227" w:type="dxa"/>
            <w:tcBorders>
              <w:bottom w:val="single" w:sz="2" w:space="0" w:color="000000"/>
            </w:tcBorders>
            <w:vAlign w:val="center"/>
          </w:tcPr>
          <w:p>
            <w:pPr>
              <w:pStyle w:val="TableContents"/>
              <w:bidi w:val="0"/>
              <w:spacing w:before="0" w:after="283"/>
              <w:jc w:val="left"/>
              <w:rPr/>
            </w:pPr>
            <w:r>
              <w:rPr/>
              <w:t> </w:t>
            </w:r>
          </w:p>
        </w:tc>
        <w:tc>
          <w:tcPr>
            <w:tcW w:w="60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Par Value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Cost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Note, 1.375%, 8/31/2026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Note, 0.75%, 8/31/2026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7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180"/>
        <w:jc w:val="left"/>
        <w:rPr/>
      </w:pPr>
      <w:r>
        <w:rPr>
          <w:rFonts w:ascii="Times New Roman" w:hAnsi="Times New Roman"/>
          <w:caps w:val="false"/>
          <w:smallCaps w:val="false"/>
          <w:sz w:val="20"/>
        </w:rPr>
        <w:t>The following table is a summary of the Company’s net gain (loss) from the sales of MBS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4457" w:type="dxa"/>
        <w:jc w:val="left"/>
        <w:tblInd w:w="0" w:type="dxa"/>
        <w:tblLayout w:type="fixed"/>
        <w:tblCellMar>
          <w:top w:w="0" w:type="dxa"/>
          <w:left w:w="0" w:type="dxa"/>
          <w:bottom w:w="28" w:type="dxa"/>
          <w:right w:w="0" w:type="dxa"/>
        </w:tblCellMar>
      </w:tblPr>
      <w:tblGrid>
        <w:gridCol w:w="2090"/>
        <w:gridCol w:w="60"/>
        <w:gridCol w:w="110"/>
        <w:gridCol w:w="923"/>
        <w:gridCol w:w="128"/>
        <w:gridCol w:w="96"/>
        <w:gridCol w:w="176"/>
        <w:gridCol w:w="779"/>
        <w:gridCol w:w="95"/>
      </w:tblGrid>
      <w:tr>
        <w:trPr/>
        <w:tc>
          <w:tcPr>
            <w:tcW w:w="20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923"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jc w:val="left"/>
              <w:rPr/>
            </w:pPr>
            <w:r>
              <w:rPr/>
              <w:t> </w:t>
            </w:r>
          </w:p>
        </w:tc>
        <w:tc>
          <w:tcPr>
            <w:tcW w:w="779"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209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102" w:type="dxa"/>
            <w:gridSpan w:val="5"/>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Six Months Ended June 30,</w:t>
            </w:r>
          </w:p>
        </w:tc>
        <w:tc>
          <w:tcPr>
            <w:tcW w:w="95"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0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Proceeds from sales of 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68,591</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9,786</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Carrying value of MBS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(68,963</w:t>
            </w:r>
          </w:p>
        </w:tc>
        <w:tc>
          <w:tcPr>
            <w:tcW w:w="12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(9,964</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0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on sales of 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w:t>
            </w:r>
          </w:p>
        </w:tc>
        <w:tc>
          <w:tcPr>
            <w:tcW w:w="12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0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gain on sales of 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loss on sales of 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w:t>
            </w:r>
          </w:p>
        </w:tc>
        <w:tc>
          <w:tcPr>
            <w:tcW w:w="12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0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on sales of 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w:t>
            </w:r>
          </w:p>
        </w:tc>
        <w:tc>
          <w:tcPr>
            <w:tcW w:w="12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pledges certain of its 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release collateral back to the Company.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had met all margin call requirements.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repurchase agreements had remaining maturities as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9"/>
        <w:gridCol w:w="60"/>
        <w:gridCol w:w="636"/>
        <w:gridCol w:w="464"/>
        <w:gridCol w:w="60"/>
        <w:gridCol w:w="60"/>
        <w:gridCol w:w="180"/>
        <w:gridCol w:w="848"/>
        <w:gridCol w:w="170"/>
        <w:gridCol w:w="60"/>
        <w:gridCol w:w="194"/>
        <w:gridCol w:w="916"/>
        <w:gridCol w:w="170"/>
        <w:gridCol w:w="60"/>
        <w:gridCol w:w="497"/>
        <w:gridCol w:w="363"/>
        <w:gridCol w:w="60"/>
        <w:gridCol w:w="60"/>
        <w:gridCol w:w="110"/>
        <w:gridCol w:w="515"/>
        <w:gridCol w:w="173"/>
      </w:tblGrid>
      <w:tr>
        <w:trPr/>
        <w:tc>
          <w:tcPr>
            <w:tcW w:w="4549"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1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7" w:type="dxa"/>
            <w:tcBorders>
              <w:bottom w:val="single" w:sz="2" w:space="0" w:color="000000"/>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OVERNIGHT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2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31</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GREATER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5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(1 DAY 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2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54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30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49"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1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7" w:type="dxa"/>
            <w:tcBorders>
              <w:bottom w:val="single" w:sz="2" w:space="0" w:color="000000"/>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49"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14,118</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1,825</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6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15,943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549"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13,282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1,751</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7"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6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549"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4549"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1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7" w:type="dxa"/>
            <w:tcBorders>
              <w:bottom w:val="single" w:sz="2" w:space="0" w:color="000000"/>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49"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70,681</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18,539</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6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89,220</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549"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67,669</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17,657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7"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6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549"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3.89</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if any.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an aggregate amount at risk (the difference between the amount loaned to the Company, including interest payable, and the fair value of securities and any cash pledged, including accrued interest on such securities) with all counterparties of approximately $0.9 million and $4.2 million, respectively.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amount at risk with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counterparty exceeding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stockholders' equity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13</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PLEDGED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Assets Pledged to Counterparties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Bimini’s assets pledged as collateral under its repurchase agreements and derivative agreements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2705"/>
        <w:gridCol w:w="60"/>
        <w:gridCol w:w="159"/>
        <w:gridCol w:w="746"/>
        <w:gridCol w:w="60"/>
        <w:gridCol w:w="60"/>
        <w:gridCol w:w="244"/>
        <w:gridCol w:w="646"/>
        <w:gridCol w:w="60"/>
        <w:gridCol w:w="60"/>
        <w:gridCol w:w="110"/>
        <w:gridCol w:w="515"/>
        <w:gridCol w:w="60"/>
        <w:gridCol w:w="60"/>
        <w:gridCol w:w="159"/>
        <w:gridCol w:w="746"/>
        <w:gridCol w:w="60"/>
        <w:gridCol w:w="60"/>
        <w:gridCol w:w="182"/>
        <w:gridCol w:w="708"/>
        <w:gridCol w:w="60"/>
        <w:gridCol w:w="60"/>
        <w:gridCol w:w="110"/>
        <w:gridCol w:w="515"/>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vAlign w:val="center"/>
          </w:tcPr>
          <w:p>
            <w:pPr>
              <w:pStyle w:val="TableContents"/>
              <w:bidi w:val="0"/>
              <w:spacing w:before="0" w:after="283"/>
              <w:jc w:val="left"/>
              <w:rPr/>
            </w:pPr>
            <w:r>
              <w:rPr/>
              <w:t> </w:t>
            </w:r>
          </w:p>
        </w:tc>
        <w:tc>
          <w:tcPr>
            <w:tcW w:w="6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70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88,808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on pledged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7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 w:type="dxa"/>
            <w:tcBorders/>
            <w:shd w:fill="FFFFFF" w:val="clear"/>
            <w:tcMar>
              <w:bottom w:w="0" w:type="dxa"/>
            </w:tcMar>
            <w:vAlign w:val="center"/>
          </w:tcPr>
          <w:p>
            <w:pPr>
              <w:pStyle w:val="TableContents"/>
              <w:bidi w:val="0"/>
              <w:spacing w:before="0" w:after="283"/>
              <w:ind w:left="0" w:right="0" w:hanging="0"/>
              <w:jc w:val="left"/>
              <w:rPr/>
            </w:pPr>
            <w:r>
              <w:rPr/>
              <w:t> </w:t>
            </w:r>
          </w:p>
        </w:tc>
        <w:tc>
          <w:tcPr>
            <w:tcW w:w="6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7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ind w:left="0" w:right="0" w:hanging="0"/>
              <w:jc w:val="left"/>
              <w:rPr/>
            </w:pPr>
            <w:r>
              <w:rPr/>
              <w:t> </w:t>
            </w:r>
          </w:p>
        </w:tc>
        <w:tc>
          <w:tcPr>
            <w:tcW w:w="70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05"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15,943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157</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16,100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89,789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1,053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90,842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OFFSETTING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derivatives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The following tables present information regarding those assets and liabilities subject to such arrangements as if the Company had presented them on a net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879" w:type="dxa"/>
        <w:jc w:val="left"/>
        <w:tblInd w:w="0" w:type="dxa"/>
        <w:tblLayout w:type="fixed"/>
        <w:tblCellMar>
          <w:top w:w="0" w:type="dxa"/>
          <w:left w:w="0" w:type="dxa"/>
          <w:bottom w:w="28" w:type="dxa"/>
          <w:right w:w="0" w:type="dxa"/>
        </w:tblCellMar>
      </w:tblPr>
      <w:tblGrid>
        <w:gridCol w:w="1745"/>
        <w:gridCol w:w="60"/>
        <w:gridCol w:w="151"/>
        <w:gridCol w:w="709"/>
        <w:gridCol w:w="60"/>
        <w:gridCol w:w="60"/>
        <w:gridCol w:w="565"/>
        <w:gridCol w:w="415"/>
        <w:gridCol w:w="60"/>
        <w:gridCol w:w="60"/>
        <w:gridCol w:w="213"/>
        <w:gridCol w:w="767"/>
        <w:gridCol w:w="60"/>
        <w:gridCol w:w="60"/>
        <w:gridCol w:w="177"/>
        <w:gridCol w:w="930"/>
        <w:gridCol w:w="128"/>
        <w:gridCol w:w="96"/>
        <w:gridCol w:w="177"/>
        <w:gridCol w:w="566"/>
        <w:gridCol w:w="80"/>
        <w:gridCol w:w="60"/>
        <w:gridCol w:w="358"/>
        <w:gridCol w:w="262"/>
        <w:gridCol w:w="60"/>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vAlign w:val="center"/>
          </w:tcPr>
          <w:p>
            <w:pPr>
              <w:pStyle w:val="TableContents"/>
              <w:bidi w:val="0"/>
              <w:spacing w:before="0" w:after="283"/>
              <w:jc w:val="left"/>
              <w:rPr/>
            </w:pPr>
            <w:r>
              <w:rPr/>
              <w:t> </w:t>
            </w:r>
          </w:p>
        </w:tc>
        <w:tc>
          <w:tcPr>
            <w:tcW w:w="70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65" w:type="dxa"/>
            <w:tcBorders>
              <w:bottom w:val="single" w:sz="2" w:space="0" w:color="000000"/>
            </w:tcBorders>
            <w:shd w:fill="FFFFFF" w:val="clear"/>
            <w:vAlign w:val="center"/>
          </w:tcPr>
          <w:p>
            <w:pPr>
              <w:pStyle w:val="TableContents"/>
              <w:bidi w:val="0"/>
              <w:spacing w:before="0" w:after="283"/>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vAlign w:val="center"/>
          </w:tcPr>
          <w:p>
            <w:pPr>
              <w:pStyle w:val="TableContents"/>
              <w:bidi w:val="0"/>
              <w:spacing w:before="0" w:after="283"/>
              <w:jc w:val="left"/>
              <w:rPr/>
            </w:pPr>
            <w:r>
              <w:rPr/>
              <w:t> </w:t>
            </w:r>
          </w:p>
        </w:tc>
        <w:tc>
          <w:tcPr>
            <w:tcW w:w="76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vAlign w:val="center"/>
          </w:tcPr>
          <w:p>
            <w:pPr>
              <w:pStyle w:val="TableContents"/>
              <w:bidi w:val="0"/>
              <w:spacing w:before="0" w:after="283"/>
              <w:jc w:val="left"/>
              <w:rPr/>
            </w:pPr>
            <w:r>
              <w:rPr/>
              <w:t> </w:t>
            </w:r>
          </w:p>
        </w:tc>
        <w:tc>
          <w:tcPr>
            <w:tcW w:w="93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vAlign w:val="center"/>
          </w:tcPr>
          <w:p>
            <w:pPr>
              <w:pStyle w:val="TableContents"/>
              <w:bidi w:val="0"/>
              <w:spacing w:before="0" w:after="283"/>
              <w:jc w:val="left"/>
              <w:rPr/>
            </w:pPr>
            <w:r>
              <w:rPr/>
              <w:t> </w:t>
            </w:r>
          </w:p>
        </w:tc>
        <w:tc>
          <w:tcPr>
            <w:tcW w:w="56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58" w:type="dxa"/>
            <w:tcBorders>
              <w:bottom w:val="single" w:sz="2" w:space="0" w:color="000000"/>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819" w:type="dxa"/>
            <w:gridSpan w:val="2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Offsetting of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7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 Amount Not Offset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7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the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Presented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7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18"/>
              </w:rPr>
              <w:t>Consolidated Balance Sheet</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Offset 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7"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Financial</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43"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Consolidated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7"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Instruments</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Cash</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7"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Posted as</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Posted as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2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128"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6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26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7"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(15,033</w:t>
            </w:r>
          </w:p>
        </w:tc>
        <w:tc>
          <w:tcPr>
            <w:tcW w:w="128"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6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26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56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(84,758</w:t>
            </w:r>
          </w:p>
        </w:tc>
        <w:tc>
          <w:tcPr>
            <w:tcW w:w="128"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26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0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(84,758</w:t>
            </w:r>
          </w:p>
        </w:tc>
        <w:tc>
          <w:tcPr>
            <w:tcW w:w="128" w:type="dxa"/>
            <w:tcBorders>
              <w:bottom w:val="double" w:sz="6"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6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(568</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26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amounts disclosed for collateral received by or posted to the same counterparty are limited to the amount sufficient to reduce the asset or liability presented in the consolidated balance sheet to zero. The fair value of the actual collateral received by or posted to the same counterparty typically exceeds the amounts presented. See Note </w:t>
      </w:r>
      <w:r>
        <w:rPr>
          <w:rStyle w:val="Emphasis"/>
          <w:rFonts w:ascii="Times New Roman" w:hAnsi="Times New Roman"/>
          <w:caps w:val="false"/>
          <w:smallCaps w:val="false"/>
          <w:sz w:val="20"/>
        </w:rPr>
        <w:t>5</w:t>
      </w:r>
      <w:r>
        <w:rPr>
          <w:rFonts w:ascii="Times New Roman" w:hAnsi="Times New Roman"/>
          <w:caps w:val="false"/>
          <w:smallCaps w:val="false"/>
          <w:sz w:val="20"/>
        </w:rPr>
        <w:t> for a discussion of collateral posted for, or received against, repurchase obligations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 xml:space="preserve">- 14 -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INTANGIBLES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pPr>
      <w:r>
        <w:rPr>
          <w:rFonts w:ascii="Times New Roman" w:hAnsi="Times New Roman"/>
          <w:caps w:val="false"/>
          <w:smallCaps w:val="false"/>
          <w:sz w:val="20"/>
        </w:rPr>
        <w:t xml:space="preserve">Intangible assets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consisted of the following:</w:t>
      </w:r>
    </w:p>
    <w:p>
      <w:pPr>
        <w:pStyle w:val="TextBody"/>
        <w:bidi w:val="0"/>
        <w:spacing w:before="0" w:after="0"/>
        <w:ind w:left="3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80"/>
        <w:gridCol w:w="60"/>
        <w:gridCol w:w="382"/>
        <w:gridCol w:w="1857"/>
        <w:gridCol w:w="60"/>
        <w:gridCol w:w="60"/>
        <w:gridCol w:w="389"/>
        <w:gridCol w:w="1506"/>
        <w:gridCol w:w="60"/>
        <w:gridCol w:w="60"/>
        <w:gridCol w:w="574"/>
        <w:gridCol w:w="1517"/>
        <w:gridCol w:w="60"/>
        <w:gridCol w:w="60"/>
        <w:gridCol w:w="352"/>
        <w:gridCol w:w="1364"/>
        <w:gridCol w:w="64"/>
      </w:tblGrid>
      <w:tr>
        <w:trPr/>
        <w:tc>
          <w:tcPr>
            <w:tcW w:w="17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vAlign w:val="center"/>
          </w:tcPr>
          <w:p>
            <w:pPr>
              <w:pStyle w:val="TableContents"/>
              <w:bidi w:val="0"/>
              <w:spacing w:before="0" w:after="283"/>
              <w:jc w:val="left"/>
              <w:rPr/>
            </w:pPr>
            <w:r>
              <w:rPr/>
              <w:t> </w:t>
            </w:r>
          </w:p>
        </w:tc>
        <w:tc>
          <w:tcPr>
            <w:tcW w:w="382" w:type="dxa"/>
            <w:tcBorders>
              <w:bottom w:val="single" w:sz="2" w:space="0" w:color="000000"/>
            </w:tcBorders>
            <w:vAlign w:val="center"/>
          </w:tcPr>
          <w:p>
            <w:pPr>
              <w:pStyle w:val="TableContents"/>
              <w:bidi w:val="0"/>
              <w:spacing w:before="0" w:after="283"/>
              <w:jc w:val="left"/>
              <w:rPr/>
            </w:pPr>
            <w:r>
              <w:rPr/>
              <w:t> </w:t>
            </w:r>
          </w:p>
        </w:tc>
        <w:tc>
          <w:tcPr>
            <w:tcW w:w="185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389" w:type="dxa"/>
            <w:tcBorders>
              <w:bottom w:val="single" w:sz="2" w:space="0" w:color="000000"/>
            </w:tcBorders>
            <w:vAlign w:val="center"/>
          </w:tcPr>
          <w:p>
            <w:pPr>
              <w:pStyle w:val="TableContents"/>
              <w:bidi w:val="0"/>
              <w:spacing w:before="0" w:after="283"/>
              <w:jc w:val="left"/>
              <w:rPr/>
            </w:pPr>
            <w:r>
              <w:rPr/>
              <w:t> </w:t>
            </w:r>
          </w:p>
        </w:tc>
        <w:tc>
          <w:tcPr>
            <w:tcW w:w="1506"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74" w:type="dxa"/>
            <w:tcBorders>
              <w:bottom w:val="single" w:sz="2" w:space="0" w:color="000000"/>
            </w:tcBorders>
            <w:vAlign w:val="center"/>
          </w:tcPr>
          <w:p>
            <w:pPr>
              <w:pStyle w:val="TableContents"/>
              <w:bidi w:val="0"/>
              <w:spacing w:before="0" w:after="283"/>
              <w:jc w:val="left"/>
              <w:rPr/>
            </w:pPr>
            <w:r>
              <w:rPr/>
              <w:t> </w:t>
            </w:r>
          </w:p>
        </w:tc>
        <w:tc>
          <w:tcPr>
            <w:tcW w:w="151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352" w:type="dxa"/>
            <w:tcBorders>
              <w:bottom w:val="single" w:sz="2" w:space="0" w:color="000000"/>
            </w:tcBorders>
            <w:vAlign w:val="center"/>
          </w:tcPr>
          <w:p>
            <w:pPr>
              <w:pStyle w:val="TableContents"/>
              <w:bidi w:val="0"/>
              <w:spacing w:before="0" w:after="283"/>
              <w:jc w:val="left"/>
              <w:rPr/>
            </w:pPr>
            <w:r>
              <w:rPr/>
              <w:t> </w:t>
            </w:r>
          </w:p>
        </w:tc>
        <w:tc>
          <w:tcPr>
            <w:tcW w:w="1364" w:type="dxa"/>
            <w:tcBorders>
              <w:bottom w:val="single" w:sz="2" w:space="0" w:color="000000"/>
            </w:tcBorders>
            <w:vAlign w:val="center"/>
          </w:tcPr>
          <w:p>
            <w:pPr>
              <w:pStyle w:val="TableContents"/>
              <w:bidi w:val="0"/>
              <w:spacing w:before="0" w:after="283"/>
              <w:jc w:val="left"/>
              <w:rPr/>
            </w:pPr>
            <w:r>
              <w:rPr/>
              <w:t> </w:t>
            </w:r>
          </w:p>
        </w:tc>
        <w:tc>
          <w:tcPr>
            <w:tcW w:w="64" w:type="dxa"/>
            <w:tcBorders>
              <w:bottom w:val="single" w:sz="2" w:space="0" w:color="000000"/>
            </w:tcBorders>
            <w:vAlign w:val="center"/>
          </w:tcPr>
          <w:p>
            <w:pPr>
              <w:pStyle w:val="TableContents"/>
              <w:bidi w:val="0"/>
              <w:spacing w:before="0" w:after="283"/>
              <w:jc w:val="left"/>
              <w:rPr/>
            </w:pPr>
            <w:r>
              <w:rPr/>
              <w:t> </w:t>
            </w:r>
          </w:p>
        </w:tc>
      </w:tr>
      <w:tr>
        <w:trPr/>
        <w:tc>
          <w:tcPr>
            <w:tcW w:w="17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Amortization Term (months)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Gross 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9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 Amortization</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71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Carrying Amount</w:t>
            </w:r>
          </w:p>
        </w:tc>
        <w:tc>
          <w:tcPr>
            <w:tcW w:w="64" w:type="dxa"/>
            <w:tcBorders>
              <w:bottom w:val="single" w:sz="2" w:space="0" w:color="000000"/>
            </w:tcBorders>
            <w:vAlign w:val="center"/>
          </w:tcPr>
          <w:p>
            <w:pPr>
              <w:pStyle w:val="TableContents"/>
              <w:bidi w:val="0"/>
              <w:spacing w:before="0" w:after="283"/>
              <w:jc w:val="left"/>
              <w:rPr/>
            </w:pPr>
            <w:r>
              <w:rPr/>
              <w:t> </w:t>
            </w:r>
          </w:p>
        </w:tc>
      </w:tr>
      <w:tr>
        <w:trPr/>
        <w:tc>
          <w:tcPr>
            <w:tcW w:w="1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TJIM client relationships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ind w:left="0" w:right="0" w:hanging="0"/>
              <w:jc w:val="left"/>
              <w:rPr/>
            </w:pPr>
            <w:r>
              <w:rPr/>
              <w:t> </w:t>
            </w:r>
          </w:p>
        </w:tc>
        <w:tc>
          <w:tcPr>
            <w:tcW w:w="1857"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8,555</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7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TJIM tradename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7"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1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5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vAlign w:val="center"/>
          </w:tcPr>
          <w:p>
            <w:pPr>
              <w:pStyle w:val="TableContents"/>
              <w:bidi w:val="0"/>
              <w:spacing w:before="0" w:after="283"/>
              <w:jc w:val="left"/>
              <w:rPr/>
            </w:pPr>
            <w:r>
              <w:rPr/>
              <w:t> </w:t>
            </w:r>
          </w:p>
        </w:tc>
        <w:tc>
          <w:tcPr>
            <w:tcW w:w="1857" w:type="dxa"/>
            <w:tcBorders>
              <w:bottom w:val="double" w:sz="6"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517"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5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6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9,530</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Amortization expense for both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was $170,000. The table below presents the future scheduled amortization of the Company’s intangible assets.</w:t>
      </w:r>
    </w:p>
    <w:p>
      <w:pPr>
        <w:pStyle w:val="TextBody"/>
        <w:bidi w:val="0"/>
        <w:spacing w:before="0" w:after="0"/>
        <w:ind w:left="340" w:right="0" w:hanging="0"/>
        <w:jc w:val="left"/>
        <w:rPr>
          <w:caps w:val="false"/>
          <w:smallCaps w:val="false"/>
        </w:rPr>
      </w:pPr>
      <w:r>
        <w:rPr>
          <w:caps w:val="false"/>
          <w:smallCaps w:val="false"/>
        </w:rPr>
        <w:t> </w:t>
      </w:r>
    </w:p>
    <w:tbl>
      <w:tblPr>
        <w:tblW w:w="2400" w:type="dxa"/>
        <w:jc w:val="left"/>
        <w:tblInd w:w="0" w:type="dxa"/>
        <w:tblLayout w:type="fixed"/>
        <w:tblCellMar>
          <w:top w:w="0" w:type="dxa"/>
          <w:left w:w="0" w:type="dxa"/>
          <w:bottom w:w="28" w:type="dxa"/>
          <w:right w:w="0" w:type="dxa"/>
        </w:tblCellMar>
      </w:tblPr>
      <w:tblGrid>
        <w:gridCol w:w="1745"/>
        <w:gridCol w:w="60"/>
        <w:gridCol w:w="110"/>
        <w:gridCol w:w="425"/>
        <w:gridCol w:w="60"/>
      </w:tblGrid>
      <w:tr>
        <w:trPr/>
        <w:tc>
          <w:tcPr>
            <w:tcW w:w="17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Last six months of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 the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After 2030 (cumulative)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6,470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9,530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goodwill of $4.8 million, which is allocated to the asset management segment of TJIM.  Goodwill recognized in connection with the TJIM Acquisition primarily represents expected synergies, assembled workforce, and future economic benefits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separate recognition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Goodwill is tested for impairment at least annually, or more frequently in the case of a triggering event.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Long-term debt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is summarized as follows:</w:t>
      </w:r>
    </w:p>
    <w:p>
      <w:pPr>
        <w:pStyle w:val="TextBody"/>
        <w:bidi w:val="0"/>
        <w:spacing w:before="0" w:after="0"/>
        <w:ind w:left="0" w:right="0" w:hanging="0"/>
        <w:jc w:val="left"/>
        <w:rPr>
          <w:caps w:val="false"/>
          <w:smallCaps w:val="false"/>
        </w:rPr>
      </w:pPr>
      <w:r>
        <w:rPr>
          <w:caps w:val="false"/>
          <w:smallCaps w:val="false"/>
        </w:rPr>
        <w:t> </w:t>
      </w:r>
    </w:p>
    <w:tbl>
      <w:tblPr>
        <w:tblW w:w="4513" w:type="dxa"/>
        <w:jc w:val="left"/>
        <w:tblInd w:w="0" w:type="dxa"/>
        <w:tblLayout w:type="fixed"/>
        <w:tblCellMar>
          <w:top w:w="0" w:type="dxa"/>
          <w:left w:w="0" w:type="dxa"/>
          <w:bottom w:w="28" w:type="dxa"/>
          <w:right w:w="0" w:type="dxa"/>
        </w:tblCellMar>
      </w:tblPr>
      <w:tblGrid>
        <w:gridCol w:w="1775"/>
        <w:gridCol w:w="60"/>
        <w:gridCol w:w="188"/>
        <w:gridCol w:w="881"/>
        <w:gridCol w:w="60"/>
        <w:gridCol w:w="60"/>
        <w:gridCol w:w="250"/>
        <w:gridCol w:w="1179"/>
        <w:gridCol w:w="60"/>
      </w:tblGrid>
      <w:tr>
        <w:trPr/>
        <w:tc>
          <w:tcPr>
            <w:tcW w:w="17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vAlign w:val="center"/>
          </w:tcPr>
          <w:p>
            <w:pPr>
              <w:pStyle w:val="TableContents"/>
              <w:bidi w:val="0"/>
              <w:spacing w:before="0" w:after="283"/>
              <w:jc w:val="left"/>
              <w:rPr/>
            </w:pPr>
            <w:r>
              <w:rPr/>
              <w:t> </w:t>
            </w:r>
          </w:p>
        </w:tc>
        <w:tc>
          <w:tcPr>
            <w:tcW w:w="88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vAlign w:val="center"/>
          </w:tcPr>
          <w:p>
            <w:pPr>
              <w:pStyle w:val="TableContents"/>
              <w:bidi w:val="0"/>
              <w:spacing w:before="0" w:after="283"/>
              <w:jc w:val="left"/>
              <w:rPr/>
            </w:pPr>
            <w:r>
              <w:rPr/>
              <w:t> </w:t>
            </w:r>
          </w:p>
        </w:tc>
        <w:tc>
          <w:tcPr>
            <w:tcW w:w="117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Junior subordinated debt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7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26,804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Secured note payable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75"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27,335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7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27,347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Junior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Bimini Capital sponsored the formation of a statutory trust, known as BCTII, 100% of the common equity of which is owned by Bimini Capital. It was formed for the purpose of issuing trust preferred capital securities to </w:t>
      </w:r>
      <w:r>
        <w:rPr>
          <w:rStyle w:val="Emphasis"/>
          <w:rFonts w:ascii="Times New Roman" w:hAnsi="Times New Roman"/>
          <w:caps w:val="false"/>
          <w:smallCaps w:val="false"/>
          <w:sz w:val="20"/>
        </w:rPr>
        <w:t>third</w:t>
      </w:r>
      <w:r>
        <w:rPr>
          <w:rFonts w:ascii="Times New Roman" w:hAnsi="Times New Roman"/>
          <w:caps w:val="false"/>
          <w:smallCaps w:val="false"/>
          <w:sz w:val="20"/>
        </w:rPr>
        <w:t>-party investors and investing the proceeds from the sale of such capital securities solely in junior subordinated debt securities of Bimini Capital. The debt securities held by BCTII are the sole assets of BCTII.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15</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outstanding principal balance on the junior subordinated debt securities owed to BCTII was $26.8 million. The interest rate for the junior subordinated debt is the CME Term Secured Overnight Financing Rate ("SOFR") on the applicable reset date plus the tenor spread adjustment of 0.26161% plus the coupon spread of 3.50%.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interest rate was 7.43% and 7.48%, respectively. The BCTII trust preferred securities and Bimini Capital's BCTII Junior Subordinated Notes require quarterly interest distributions, are redeemable at Bimini Capital's option, in whole or in part and without penalty, and have a final maturity of </w:t>
      </w:r>
      <w:r>
        <w:rPr>
          <w:rStyle w:val="Emphasis"/>
          <w:rFonts w:ascii="Times New Roman" w:hAnsi="Times New Roman"/>
          <w:caps w:val="false"/>
          <w:smallCaps w:val="false"/>
          <w:sz w:val="20"/>
        </w:rPr>
        <w:t xml:space="preserve"> December 15, 2035. </w:t>
      </w:r>
      <w:r>
        <w:rPr>
          <w:rFonts w:ascii="Times New Roman" w:hAnsi="Times New Roman"/>
          <w:caps w:val="false"/>
          <w:smallCaps w:val="false"/>
          <w:sz w:val="20"/>
        </w:rPr>
        <w:t>Bimini Capital's BCTII Junior Subordinated Notes are subordinate and junior in right of payment to all present and future senior indebtedness.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included consolidated financial statements present Bimini Capital's BCTII Junior Subordinated Notes issued to BCTII as a liability and Bimini Capital's investment in the common equity securities of BCTII as an asset (included in other assets). For financial statement purposes, Bimini Capital records payments of interest on the Junior Subordinated Notes issued to BCTII as interest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Secured 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30, 2019, </w:t>
      </w:r>
      <w:r>
        <w:rPr>
          <w:rFonts w:ascii="Times New Roman" w:hAnsi="Times New Roman"/>
          <w:caps w:val="false"/>
          <w:smallCaps w:val="false"/>
          <w:sz w:val="20"/>
        </w:rPr>
        <w:t xml:space="preserve">the Company borrowed $680,000 from a bank. Through </w:t>
      </w:r>
      <w:r>
        <w:rPr>
          <w:rStyle w:val="Emphasis"/>
          <w:rFonts w:ascii="Times New Roman" w:hAnsi="Times New Roman"/>
          <w:caps w:val="false"/>
          <w:smallCaps w:val="false"/>
          <w:sz w:val="20"/>
        </w:rPr>
        <w:t xml:space="preserve">October 30, 2024, </w:t>
      </w:r>
      <w:r>
        <w:rPr>
          <w:rFonts w:ascii="Times New Roman" w:hAnsi="Times New Roman"/>
          <w:caps w:val="false"/>
          <w:smallCaps w:val="false"/>
          <w:sz w:val="20"/>
        </w:rPr>
        <w:t xml:space="preserve">interest on the note accrued at 4.89%. Thereafter, interest accrues based on the weekly average yield to the United States Treasury securities adjusted to a constant maturity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 plus 3.25%. The interest rate reset to 7.37% on </w:t>
      </w:r>
      <w:r>
        <w:rPr>
          <w:rStyle w:val="Emphasis"/>
          <w:rFonts w:ascii="Times New Roman" w:hAnsi="Times New Roman"/>
          <w:caps w:val="false"/>
          <w:smallCaps w:val="false"/>
          <w:sz w:val="20"/>
        </w:rPr>
        <w:t>October 30, 2024 </w:t>
      </w:r>
      <w:r>
        <w:rPr>
          <w:rFonts w:ascii="Times New Roman" w:hAnsi="Times New Roman"/>
          <w:caps w:val="false"/>
          <w:smallCaps w:val="false"/>
          <w:sz w:val="20"/>
        </w:rPr>
        <w:t xml:space="preserve">and will reset again on </w:t>
      </w:r>
      <w:r>
        <w:rPr>
          <w:rStyle w:val="Emphasis"/>
          <w:rFonts w:ascii="Times New Roman" w:hAnsi="Times New Roman"/>
          <w:caps w:val="false"/>
          <w:smallCaps w:val="false"/>
          <w:sz w:val="20"/>
        </w:rPr>
        <w:t xml:space="preserve">October 30, 2029. </w:t>
      </w:r>
      <w:r>
        <w:rPr>
          <w:rFonts w:ascii="Times New Roman" w:hAnsi="Times New Roman"/>
          <w:caps w:val="false"/>
          <w:smallCaps w:val="false"/>
          <w:sz w:val="20"/>
        </w:rPr>
        <w:t xml:space="preserve">The note is secured by a mortgage on the Company’s office building and has a final maturity of </w:t>
      </w:r>
      <w:r>
        <w:rPr>
          <w:rStyle w:val="Emphasis"/>
          <w:rFonts w:ascii="Times New Roman" w:hAnsi="Times New Roman"/>
          <w:caps w:val="false"/>
          <w:smallCaps w:val="false"/>
          <w:sz w:val="20"/>
        </w:rPr>
        <w:t>October 30, 2039.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future scheduled principal payments on the Company’s long-term debt.</w:t>
      </w:r>
    </w:p>
    <w:p>
      <w:pPr>
        <w:pStyle w:val="TextBody"/>
        <w:bidi w:val="0"/>
        <w:spacing w:before="0" w:after="0"/>
        <w:ind w:left="0" w:right="0" w:hanging="0"/>
        <w:jc w:val="left"/>
        <w:rPr>
          <w:caps w:val="false"/>
          <w:smallCaps w:val="false"/>
        </w:rPr>
      </w:pPr>
      <w:r>
        <w:rPr>
          <w:caps w:val="false"/>
          <w:smallCaps w:val="false"/>
        </w:rPr>
        <w:t> </w:t>
      </w:r>
    </w:p>
    <w:tbl>
      <w:tblPr>
        <w:tblW w:w="2490" w:type="dxa"/>
        <w:jc w:val="left"/>
        <w:tblInd w:w="0" w:type="dxa"/>
        <w:tblLayout w:type="fixed"/>
        <w:tblCellMar>
          <w:top w:w="0" w:type="dxa"/>
          <w:left w:w="0" w:type="dxa"/>
          <w:bottom w:w="28" w:type="dxa"/>
          <w:right w:w="0" w:type="dxa"/>
        </w:tblCellMar>
      </w:tblPr>
      <w:tblGrid>
        <w:gridCol w:w="1745"/>
        <w:gridCol w:w="60"/>
        <w:gridCol w:w="110"/>
        <w:gridCol w:w="515"/>
        <w:gridCol w:w="60"/>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Last six months of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For the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After 2030 (cumulative)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27,211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issuances of Bimini Capital's Class A Common Stock, Class B Common Stock or Class C Common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Repurchase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12, 2026, </w:t>
      </w:r>
      <w:r>
        <w:rPr>
          <w:rFonts w:ascii="Times New Roman" w:hAnsi="Times New Roman"/>
          <w:caps w:val="false"/>
          <w:smallCaps w:val="false"/>
          <w:sz w:val="20"/>
        </w:rPr>
        <w:t xml:space="preserve">the Board authorized a share repurchase plan pursuant to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 Pursuant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 the Company can purchase shares of its Class A Common Stock from time to time for an aggregate purchase price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$2.5 million. Share repurchases can be executed through various means, including, without limitation, open market transactions. The </w:t>
      </w:r>
      <w:r>
        <w:rPr>
          <w:rStyle w:val="Emphasis"/>
          <w:rFonts w:ascii="Times New Roman" w:hAnsi="Times New Roman"/>
          <w:caps w:val="false"/>
          <w:smallCaps w:val="false"/>
          <w:sz w:val="20"/>
        </w:rPr>
        <w:t>2026</w:t>
      </w:r>
      <w:r>
        <w:rPr>
          <w:rFonts w:ascii="Times New Roman" w:hAnsi="Times New Roman"/>
          <w:caps w:val="false"/>
          <w:smallCaps w:val="false"/>
          <w:sz w:val="20"/>
        </w:rPr>
        <w:t> Repurchase Plan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purchase any shares.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repurchased 15,201 shares under the </w:t>
      </w:r>
      <w:r>
        <w:rPr>
          <w:rStyle w:val="Emphasis"/>
          <w:rFonts w:ascii="Times New Roman" w:hAnsi="Times New Roman"/>
          <w:caps w:val="false"/>
          <w:smallCaps w:val="false"/>
          <w:sz w:val="20"/>
        </w:rPr>
        <w:t>2026</w:t>
      </w:r>
      <w:r>
        <w:rPr>
          <w:rFonts w:ascii="Times New Roman" w:hAnsi="Times New Roman"/>
          <w:caps w:val="false"/>
          <w:smallCaps w:val="false"/>
          <w:sz w:val="20"/>
        </w:rPr>
        <w:t> Repurchase Plan at an average price of $2.64 per share. Subsequent to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repurchased 1,984 shares under the </w:t>
      </w:r>
      <w:r>
        <w:rPr>
          <w:rStyle w:val="Emphasis"/>
          <w:rFonts w:ascii="Times New Roman" w:hAnsi="Times New Roman"/>
          <w:caps w:val="false"/>
          <w:smallCaps w:val="false"/>
          <w:sz w:val="20"/>
        </w:rPr>
        <w:t>2026</w:t>
      </w:r>
      <w:r>
        <w:rPr>
          <w:rFonts w:ascii="Times New Roman" w:hAnsi="Times New Roman"/>
          <w:caps w:val="false"/>
          <w:smallCaps w:val="false"/>
          <w:sz w:val="20"/>
        </w:rPr>
        <w:t> Repurchase Plan at an average price of $ 2.33 per share.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involved in various claims and legal actions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16</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As previously disclosed, 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the Company received demands for payment from Citigroup, Inc. related to the indemnification provisions of various mortgage loan purchase agreements entered into prior to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Management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other significant reported or unreported contingencies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total income tax provision recorded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$1.5 million and $0.2 million, respectively, on consolidated pre-tax book income of $2.8 million and $0.8 million, respectively.  The total income tax provision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$1.3 million and $0.01 million, respectively, on consolidated pre-tax book income of $1.8 million and $0.05 million, respectively. The Company uses the discrete-period computation method for determining its income tax provision. The Company's income tax provision is affected by numerous factors, including nondeductible expenses, the projected utilization of net operating loss carryovers (“NOLs”) and changes in its deferred tax assets and liabilities and their valuations. The Company’s tax provisions are computed using actual annual tax rates applied to actual income to date and include the expected realization of a portion of the tax benefits of federal and state NOLs. In assessing the realizability of deferred tax assets, management considers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that some portion or all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be realized in future accounting periods. The ultimate realization of net capital loss carryforwards and NOLs is dependent upon the generation of future capital gains and taxable income in periods prior to their expiration. The Company currently provides a valuation allowance against a portion of the deferred tax assets generated by the NOLs since the Company believes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that some of the benefits will </w:t>
      </w:r>
      <w:r>
        <w:rPr>
          <w:rStyle w:val="Emphasis"/>
          <w:rFonts w:ascii="Times New Roman" w:hAnsi="Times New Roman"/>
          <w:caps w:val="false"/>
          <w:smallCaps w:val="false"/>
          <w:sz w:val="20"/>
        </w:rPr>
        <w:t>not</w:t>
      </w:r>
      <w:r>
        <w:rPr>
          <w:rFonts w:ascii="Times New Roman" w:hAnsi="Times New Roman"/>
          <w:caps w:val="false"/>
          <w:smallCaps w:val="false"/>
          <w:sz w:val="20"/>
        </w:rPr>
        <w:t> be realized in the future.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reassessed the realizability of its deferred tax assets in connection with the acquisition of TJIM. As a result of this reassessment, the Company recorded an increase in its valuation allowance and a corresponding increase in income tax expense of approximately $1.1 million. The Company will continue to assess the need for, and the amount of, the valuation allowance at each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Shares of Class B common stock, participating and convertible into Class A common stock, are entitled to receive dividends in an amount equal to the dividends declared on each share of Class A common stock if, and when, authorized and declared by the Board of Directors. Class B common stock is included in the computation of basic EPS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and consequently is presented separately from Class A common stock. Shares of Class B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Class A EPS as the conditions for conversion to Class A common stock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Shares of Class C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basic EPS computation as these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participation rights. Shares of Class C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Class A EPS as the conditions for conversion to Class A common stock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Net income attributable to noncontrolling interests is excluded from the numerator in the calculation of both basic and diluted EPS because those earnings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attributable to the Company's common stockholders. Accordingly, the numerator used in the EPS calculation is net income attributable to the Company's common stockholders after deducting net income attributable to noncontrolling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reconciles the numerator and denominator of EPS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 xml:space="preserve">- 17 -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8980" w:type="dxa"/>
        <w:jc w:val="left"/>
        <w:tblInd w:w="0" w:type="dxa"/>
        <w:tblLayout w:type="fixed"/>
        <w:tblCellMar>
          <w:top w:w="0" w:type="dxa"/>
          <w:left w:w="0" w:type="dxa"/>
          <w:bottom w:w="28" w:type="dxa"/>
          <w:right w:w="0" w:type="dxa"/>
        </w:tblCellMar>
      </w:tblPr>
      <w:tblGrid>
        <w:gridCol w:w="4340"/>
        <w:gridCol w:w="60"/>
        <w:gridCol w:w="169"/>
        <w:gridCol w:w="791"/>
        <w:gridCol w:w="92"/>
        <w:gridCol w:w="92"/>
        <w:gridCol w:w="169"/>
        <w:gridCol w:w="791"/>
        <w:gridCol w:w="60"/>
        <w:gridCol w:w="60"/>
        <w:gridCol w:w="197"/>
        <w:gridCol w:w="763"/>
        <w:gridCol w:w="107"/>
        <w:gridCol w:w="107"/>
        <w:gridCol w:w="197"/>
        <w:gridCol w:w="925"/>
        <w:gridCol w:w="60"/>
      </w:tblGrid>
      <w:tr>
        <w:trPr/>
        <w:tc>
          <w:tcPr>
            <w:tcW w:w="43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per-share information)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791"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79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76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9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6"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EPS per Class A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791"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7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attributable to Class A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bottom w:val="double" w:sz="6"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1,171</w:t>
            </w:r>
          </w:p>
        </w:tc>
        <w:tc>
          <w:tcPr>
            <w:tcW w:w="92" w:type="dxa"/>
            <w:tcBorders>
              <w:bottom w:val="double" w:sz="6" w:space="0" w:color="000000"/>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p>
        </w:tc>
        <w:tc>
          <w:tcPr>
            <w:tcW w:w="107" w:type="dxa"/>
            <w:tcBorders>
              <w:bottom w:val="double" w:sz="6" w:space="0" w:color="000000"/>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bottom w:val="single" w:sz="2"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A common shares outstanding at the balance sheet date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9,990</w:t>
            </w:r>
          </w:p>
        </w:tc>
        <w:tc>
          <w:tcPr>
            <w:tcW w:w="92"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9,990</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3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Effect of weighting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3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shares-basic and diluted</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10,004</w:t>
            </w:r>
          </w:p>
        </w:tc>
        <w:tc>
          <w:tcPr>
            <w:tcW w:w="92" w:type="dxa"/>
            <w:tcBorders>
              <w:bottom w:val="double" w:sz="6" w:space="0" w:color="000000"/>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6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9,999</w:t>
            </w:r>
          </w:p>
        </w:tc>
        <w:tc>
          <w:tcPr>
            <w:tcW w:w="107" w:type="dxa"/>
            <w:tcBorders>
              <w:bottom w:val="double" w:sz="6" w:space="0" w:color="000000"/>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per Class A common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0.12</w:t>
            </w:r>
          </w:p>
        </w:tc>
        <w:tc>
          <w:tcPr>
            <w:tcW w:w="92" w:type="dxa"/>
            <w:tcBorders>
              <w:bottom w:val="double" w:sz="6" w:space="0" w:color="000000"/>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p>
        </w:tc>
        <w:tc>
          <w:tcPr>
            <w:tcW w:w="107" w:type="dxa"/>
            <w:tcBorders>
              <w:bottom w:val="double" w:sz="6" w:space="0" w:color="000000"/>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8966" w:type="dxa"/>
        <w:jc w:val="left"/>
        <w:tblInd w:w="0" w:type="dxa"/>
        <w:tblLayout w:type="fixed"/>
        <w:tblCellMar>
          <w:top w:w="0" w:type="dxa"/>
          <w:left w:w="0" w:type="dxa"/>
          <w:bottom w:w="28" w:type="dxa"/>
          <w:right w:w="0" w:type="dxa"/>
        </w:tblCellMar>
      </w:tblPr>
      <w:tblGrid>
        <w:gridCol w:w="4325"/>
        <w:gridCol w:w="60"/>
        <w:gridCol w:w="229"/>
        <w:gridCol w:w="698"/>
        <w:gridCol w:w="125"/>
        <w:gridCol w:w="125"/>
        <w:gridCol w:w="229"/>
        <w:gridCol w:w="698"/>
        <w:gridCol w:w="60"/>
        <w:gridCol w:w="60"/>
        <w:gridCol w:w="289"/>
        <w:gridCol w:w="880"/>
        <w:gridCol w:w="157"/>
        <w:gridCol w:w="157"/>
        <w:gridCol w:w="289"/>
        <w:gridCol w:w="525"/>
        <w:gridCol w:w="60"/>
      </w:tblGrid>
      <w:tr>
        <w:trPr/>
        <w:tc>
          <w:tcPr>
            <w:tcW w:w="43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per-share information)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 </w:t>
            </w:r>
          </w:p>
        </w:tc>
        <w:tc>
          <w:tcPr>
            <w:tcW w:w="69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 </w:t>
            </w:r>
          </w:p>
        </w:tc>
        <w:tc>
          <w:tcPr>
            <w:tcW w:w="6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vAlign w:val="center"/>
          </w:tcPr>
          <w:p>
            <w:pPr>
              <w:pStyle w:val="TableContents"/>
              <w:bidi w:val="0"/>
              <w:spacing w:before="0" w:after="283"/>
              <w:jc w:val="left"/>
              <w:rPr/>
            </w:pPr>
            <w:r>
              <w:rPr/>
              <w:t> </w:t>
            </w:r>
          </w:p>
        </w:tc>
        <w:tc>
          <w:tcPr>
            <w:tcW w:w="880"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7"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57"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EPS per Class B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attributable to Class B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88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5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bottom w:val="double" w:sz="6"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157" w:type="dxa"/>
            <w:tcBorders>
              <w:bottom w:val="double" w:sz="6" w:space="0" w:color="000000"/>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88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5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bottom w:val="single" w:sz="2"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B common shares outstanding at the balance sheet date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25"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57" w:type="dxa"/>
            <w:tcBorders>
              <w:bottom w:val="single" w:sz="2" w:space="0" w:color="000000"/>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32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shares-basic and diluted</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9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9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157" w:type="dxa"/>
            <w:tcBorders>
              <w:bottom w:val="double" w:sz="6" w:space="0" w:color="000000"/>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per Class B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bottom w:val="double" w:sz="6" w:space="0" w:color="000000"/>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0.12</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p>
        </w:tc>
        <w:tc>
          <w:tcPr>
            <w:tcW w:w="157" w:type="dxa"/>
            <w:tcBorders>
              <w:bottom w:val="double" w:sz="6" w:space="0" w:color="000000"/>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Fair value is the price that would be received to sell an asset or paid to transfer a liability in an orderly transaction between market participants at the measurement date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where the valuation is based on quoted market prices for identical assets or liabilities traded in active markets (which include exchanges and over-the-counter markets with sufficient volume),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where the valuation is based on quoted market prices for similar instruments traded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model-based valuation techniques for which all significant assumptions are observable in the market,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valuations, where the valuation is generated from model-based techniques that use significant assumptions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the use of market prices of assets or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comparable to the subject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Company's MBS and Orchid common stock are recorded at fair value on a recurring basis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traded in active markets, the Company looks to market observable data for similar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18</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Company's MBS are valued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and such valuations currently are determined by the Company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broker quotes. Because the price estimates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volatility spread, spread to the U.S. Treasury curve or spread to a benchmark such as a TBA security),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Company’s U.S. Treasury securities that are based on quoted prices for identical instruments in active markets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assets. U.S. Treasury securities are considered Level </w:t>
      </w:r>
      <w:r>
        <w:rPr>
          <w:rStyle w:val="Emphasis"/>
          <w:rFonts w:ascii="Times New Roman" w:hAnsi="Times New Roman"/>
          <w:caps w:val="false"/>
          <w:smallCaps w:val="false"/>
          <w:sz w:val="20"/>
        </w:rPr>
        <w:t>2</w:t>
      </w:r>
      <w:r>
        <w:rPr>
          <w:rFonts w:ascii="Times New Roman" w:hAnsi="Times New Roman"/>
          <w:caps w:val="false"/>
          <w:smallCaps w:val="false"/>
          <w:sz w:val="20"/>
        </w:rPr>
        <w:t> investments when they were issued before the most recent issue and were still outstanding at measurement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futures contracts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as they are exchange-traded instruments and quoted market prices are readily available. Futures contracts are settled daily.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estimated fair value of cash and cash equivalents, restricted cash, accrued interest receivable, other assets, due from affiliates, repurchase agreements, accrued interest payable and other liabilities generally approximates their carrying values due to the short-term nature of these financial instruments. The Company estimates the fair value of the cash and cash equivalents and restricted cash using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and the accrued interest receivable, other assets, due from affiliates, repurchase agreements, accrued interest payable and other liabilities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The fair value of the Company’s junior subordinated debt approximates its carrying value. The carrying value is a reasonable estimate of fair value since the instrument carries a floating rate that resets frequently. Further information regarding this instrument is presented in Note </w:t>
      </w:r>
      <w:r>
        <w:rPr>
          <w:rStyle w:val="Emphasis"/>
          <w:rFonts w:ascii="Times New Roman" w:hAnsi="Times New Roman"/>
          <w:caps w:val="false"/>
          <w:smallCaps w:val="false"/>
          <w:sz w:val="20"/>
        </w:rPr>
        <w:t>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financial assets and liabilities measured at fair value on a recurring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509" w:type="dxa"/>
        <w:jc w:val="left"/>
        <w:tblInd w:w="0" w:type="dxa"/>
        <w:tblLayout w:type="fixed"/>
        <w:tblCellMar>
          <w:top w:w="0" w:type="dxa"/>
          <w:left w:w="0" w:type="dxa"/>
          <w:bottom w:w="28" w:type="dxa"/>
          <w:right w:w="0" w:type="dxa"/>
        </w:tblCellMar>
      </w:tblPr>
      <w:tblGrid>
        <w:gridCol w:w="2975"/>
        <w:gridCol w:w="60"/>
        <w:gridCol w:w="196"/>
        <w:gridCol w:w="919"/>
        <w:gridCol w:w="60"/>
        <w:gridCol w:w="60"/>
        <w:gridCol w:w="216"/>
        <w:gridCol w:w="838"/>
        <w:gridCol w:w="60"/>
        <w:gridCol w:w="60"/>
        <w:gridCol w:w="148"/>
        <w:gridCol w:w="697"/>
        <w:gridCol w:w="60"/>
        <w:gridCol w:w="60"/>
        <w:gridCol w:w="601"/>
        <w:gridCol w:w="439"/>
        <w:gridCol w:w="60"/>
      </w:tblGrid>
      <w:tr>
        <w:trPr/>
        <w:tc>
          <w:tcPr>
            <w:tcW w:w="29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vAlign w:val="center"/>
          </w:tcPr>
          <w:p>
            <w:pPr>
              <w:pStyle w:val="TableContents"/>
              <w:bidi w:val="0"/>
              <w:spacing w:before="0" w:after="283"/>
              <w:jc w:val="left"/>
              <w:rPr/>
            </w:pPr>
            <w:r>
              <w:rPr/>
              <w:t> </w:t>
            </w:r>
          </w:p>
        </w:tc>
        <w:tc>
          <w:tcPr>
            <w:tcW w:w="91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t> </w:t>
            </w:r>
          </w:p>
        </w:tc>
        <w:tc>
          <w:tcPr>
            <w:tcW w:w="83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69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Quoted Prices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Active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Markets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Identical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Observable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Unobservable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Measurements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vAlign w:val="center"/>
          </w:tcPr>
          <w:p>
            <w:pPr>
              <w:pStyle w:val="TableContents"/>
              <w:bidi w:val="0"/>
              <w:spacing w:before="0" w:after="283"/>
              <w:jc w:val="left"/>
              <w:rPr/>
            </w:pPr>
            <w:r>
              <w:rPr/>
              <w:t> </w:t>
            </w:r>
          </w:p>
        </w:tc>
        <w:tc>
          <w:tcPr>
            <w:tcW w:w="91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t> </w:t>
            </w:r>
          </w:p>
        </w:tc>
        <w:tc>
          <w:tcPr>
            <w:tcW w:w="83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69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9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83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Orchid Island Capital, Inc. common stock</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3,966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3,966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vAlign w:val="center"/>
          </w:tcPr>
          <w:p>
            <w:pPr>
              <w:pStyle w:val="TableContents"/>
              <w:bidi w:val="0"/>
              <w:spacing w:before="0" w:after="283"/>
              <w:jc w:val="left"/>
              <w:rPr/>
            </w:pPr>
            <w:r>
              <w:rPr/>
              <w:t> </w:t>
            </w:r>
          </w:p>
        </w:tc>
        <w:tc>
          <w:tcPr>
            <w:tcW w:w="91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jc w:val="left"/>
              <w:rPr/>
            </w:pPr>
            <w:r>
              <w:rPr/>
              <w:t> </w:t>
            </w:r>
          </w:p>
        </w:tc>
        <w:tc>
          <w:tcPr>
            <w:tcW w:w="83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69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1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9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Orchid Island Capital, Inc. common stock</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of financial assets or liabilities between Levels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19</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business is organized into the asset management segment of Bimini Advisors, the asset management segment of TJIM, and the investment portfolio segment, with each representing a reportable segment. Our chief operating decision maker ("CODM") is our Chief Executive Officer. The results of each segment are regularly reviewed by the CODM to assess the performance of the segment and make decisions regarding the allocation of resources to the segments. The primary measure of segment performance used by the CODM is income (loss) before income taxes. Net revenues is also used to assess the financial performance of the segments and for purposes of allocating resources. The accounting policies of our three reportable business segments are the same as those described in Note </w:t>
      </w:r>
      <w:r>
        <w:rPr>
          <w:rStyle w:val="Emphasis"/>
          <w:rFonts w:ascii="Times New Roman" w:hAnsi="Times New Roman"/>
          <w:caps w:val="false"/>
          <w:smallCaps w:val="false"/>
          <w:sz w:val="20"/>
        </w:rPr>
        <w:t>1.</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asset management segment of Bimini Advisors includes the investment advisory services provided by Bimini Advisors to Orchid and Royal Palm. As discussed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revenues of this asset management segment consist of management fees, overhead reimbursements and repurchase, clearing and administrative fees received pursuant to a management agreement with Orchid. Total revenues received under this management agreement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approximately $10.2 million and $5.1 million, respectively, accounting for approximately 74% and 70% of consolidated revenues. Total revenues received under this management agreement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were approximately $7.4 million and $3.8 million, respectively, accounting for approximately 66% and 68% of consolidated revenues.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asset management segment of TJIM includes discretionary and non-discretionary investment advisory services to institutional investors, high-net-worth individuals, retirement plans, sub advisory platforms, and foundations, in all cases attributable only to the operation of TJIM after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Total revenues received under this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were approximately $1.7 million, accounting for approximately 24% of consolidated revenues for that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investment portfolio segment includes the investment activities conducted by Royal Palm. The investment portfolio segment receives revenue in the form of interest and dividend income on its investments.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majority of our assets, revenues and expenses are directly associated with each respective business segment and are included in determining each segment's asset balance and operating results. Those assets, revenues and expenses that are </w:t>
      </w:r>
      <w:r>
        <w:rPr>
          <w:rStyle w:val="Emphasis"/>
          <w:rFonts w:ascii="Times New Roman" w:hAnsi="Times New Roman"/>
          <w:i/>
          <w:caps w:val="false"/>
          <w:smallCaps w:val="false"/>
          <w:sz w:val="20"/>
        </w:rPr>
        <w:t>not</w:t>
      </w:r>
      <w:r>
        <w:rPr>
          <w:rFonts w:ascii="Times New Roman" w:hAnsi="Times New Roman"/>
          <w:caps w:val="false"/>
          <w:smallCaps w:val="false"/>
          <w:sz w:val="20"/>
        </w:rPr>
        <w:t xml:space="preserve"> directly attributable to a particular business segment are included in the Corporate function. Corporate operating expenses are allocated to the reportable segments based on their proportional share of total revenues. As a result, the sum of each statement of operations line item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reportable segments and the Corporate function is equal to that same statement of operations line item for the consolidated entity. In addition, the sum of the total assets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reportable segments and the Corporate function is equal to the total assets of the consolidated entity.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sz w:val="20"/>
        </w:rPr>
        <w:t xml:space="preserve">Segment information for the </w:t>
      </w:r>
      <w:r>
        <w:rPr>
          <w:rStyle w:val="Emphasis"/>
          <w:rFonts w:ascii="Times New Roman;Times;serif" w:hAnsi="Times New Roman;Times;serif"/>
          <w:sz w:val="20"/>
        </w:rPr>
        <w:t>six</w:t>
      </w:r>
      <w:r>
        <w:rPr>
          <w:rFonts w:ascii="Times New Roman;Times;serif" w:hAnsi="Times New Roman;Times;serif"/>
          <w:sz w:val="20"/>
        </w:rPr>
        <w:t xml:space="preserve"> and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is as follows:</w:t>
      </w:r>
    </w:p>
    <w:p>
      <w:pPr>
        <w:pStyle w:val="TextBody"/>
        <w:bidi w:val="0"/>
        <w:spacing w:before="0" w:after="0"/>
        <w:ind w:left="0" w:right="0" w:hanging="0"/>
        <w:jc w:val="left"/>
        <w:rPr/>
      </w:pPr>
      <w:r>
        <w:rPr/>
        <w:t> </w:t>
      </w:r>
    </w:p>
    <w:tbl>
      <w:tblPr>
        <w:tblW w:w="8761" w:type="dxa"/>
        <w:jc w:val="left"/>
        <w:tblInd w:w="0" w:type="dxa"/>
        <w:tblLayout w:type="fixed"/>
        <w:tblCellMar>
          <w:top w:w="0" w:type="dxa"/>
          <w:left w:w="0" w:type="dxa"/>
          <w:bottom w:w="28" w:type="dxa"/>
          <w:right w:w="0" w:type="dxa"/>
        </w:tblCellMar>
      </w:tblPr>
      <w:tblGrid>
        <w:gridCol w:w="3380"/>
        <w:gridCol w:w="60"/>
        <w:gridCol w:w="117"/>
        <w:gridCol w:w="548"/>
        <w:gridCol w:w="84"/>
        <w:gridCol w:w="63"/>
        <w:gridCol w:w="125"/>
        <w:gridCol w:w="554"/>
        <w:gridCol w:w="80"/>
        <w:gridCol w:w="60"/>
        <w:gridCol w:w="153"/>
        <w:gridCol w:w="677"/>
        <w:gridCol w:w="80"/>
        <w:gridCol w:w="60"/>
        <w:gridCol w:w="142"/>
        <w:gridCol w:w="628"/>
        <w:gridCol w:w="80"/>
        <w:gridCol w:w="60"/>
        <w:gridCol w:w="286"/>
        <w:gridCol w:w="679"/>
        <w:gridCol w:w="80"/>
        <w:gridCol w:w="60"/>
        <w:gridCol w:w="110"/>
        <w:gridCol w:w="51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vAlign w:val="center"/>
          </w:tcPr>
          <w:p>
            <w:pPr>
              <w:pStyle w:val="TableContents"/>
              <w:bidi w:val="0"/>
              <w:spacing w:before="0" w:after="283"/>
              <w:jc w:val="left"/>
              <w:rPr/>
            </w:pPr>
            <w:r>
              <w:rPr/>
              <w:t> </w:t>
            </w:r>
          </w:p>
        </w:tc>
        <w:tc>
          <w:tcPr>
            <w:tcW w:w="548"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jc w:val="left"/>
              <w:rPr/>
            </w:pPr>
            <w:r>
              <w:rPr/>
              <w:t> </w:t>
            </w:r>
          </w:p>
        </w:tc>
        <w:tc>
          <w:tcPr>
            <w:tcW w:w="67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62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jc w:val="left"/>
              <w:rPr/>
            </w:pPr>
            <w:r>
              <w:rPr/>
              <w:t> </w:t>
            </w:r>
          </w:p>
        </w:tc>
        <w:tc>
          <w:tcPr>
            <w:tcW w:w="67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1"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Asset Management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Bimini</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Advisors</w:t>
            </w:r>
          </w:p>
        </w:tc>
        <w:tc>
          <w:tcPr>
            <w:tcW w:w="84"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3"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Total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10,205</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11,933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4"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5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10,281</w:t>
            </w:r>
          </w:p>
        </w:tc>
        <w:tc>
          <w:tcPr>
            <w:tcW w:w="84"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13,724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10,281</w:t>
            </w:r>
          </w:p>
        </w:tc>
        <w:tc>
          <w:tcPr>
            <w:tcW w:w="84"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pPr>
            <w:r>
              <w:rPr/>
              <w:t> </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5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(5,405</w:t>
            </w:r>
          </w:p>
        </w:tc>
        <w:tc>
          <w:tcPr>
            <w:tcW w:w="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6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4,774</w:t>
            </w:r>
          </w:p>
        </w:tc>
        <w:tc>
          <w:tcPr>
            <w:tcW w:w="84" w:type="dxa"/>
            <w:tcBorders>
              <w:bottom w:val="double" w:sz="6" w:space="0" w:color="000000"/>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20</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060" w:type="dxa"/>
        <w:jc w:val="left"/>
        <w:tblInd w:w="0" w:type="dxa"/>
        <w:tblLayout w:type="fixed"/>
        <w:tblCellMar>
          <w:top w:w="0" w:type="dxa"/>
          <w:left w:w="0" w:type="dxa"/>
          <w:bottom w:w="28" w:type="dxa"/>
          <w:right w:w="0" w:type="dxa"/>
        </w:tblCellMar>
      </w:tblPr>
      <w:tblGrid>
        <w:gridCol w:w="3380"/>
        <w:gridCol w:w="60"/>
        <w:gridCol w:w="169"/>
        <w:gridCol w:w="748"/>
        <w:gridCol w:w="123"/>
        <w:gridCol w:w="91"/>
        <w:gridCol w:w="388"/>
        <w:gridCol w:w="291"/>
        <w:gridCol w:w="60"/>
        <w:gridCol w:w="60"/>
        <w:gridCol w:w="153"/>
        <w:gridCol w:w="677"/>
        <w:gridCol w:w="80"/>
        <w:gridCol w:w="60"/>
        <w:gridCol w:w="142"/>
        <w:gridCol w:w="628"/>
        <w:gridCol w:w="80"/>
        <w:gridCol w:w="60"/>
        <w:gridCol w:w="286"/>
        <w:gridCol w:w="679"/>
        <w:gridCol w:w="80"/>
        <w:gridCol w:w="60"/>
        <w:gridCol w:w="110"/>
        <w:gridCol w:w="51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12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8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7"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Bimini</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right w:val="single" w:sz="2" w:space="0" w:color="000000"/>
            </w:tcBorders>
            <w:shd w:fill="FFFFFF" w:val="clear"/>
            <w:tcMar>
              <w:bottom w:w="0" w:type="dxa"/>
              <w:right w:w="28"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Advisors</w:t>
            </w:r>
          </w:p>
        </w:tc>
        <w:tc>
          <w:tcPr>
            <w:tcW w:w="123"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1"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Tota</w:t>
            </w:r>
            <w:r>
              <w:rPr>
                <w:rFonts w:ascii="Times New Roman;Times;serif" w:hAnsi="Times New Roman;Times;serif"/>
                <w:sz w:val="18"/>
              </w:rPr>
              <w:t>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3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3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7,474</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11,127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3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7,474</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ind w:left="0" w:right="0" w:hanging="0"/>
              <w:jc w:val="left"/>
              <w:rPr/>
            </w:pPr>
            <w:r>
              <w:rPr/>
              <w:t> </w:t>
            </w:r>
          </w:p>
        </w:tc>
        <w:tc>
          <w:tcPr>
            <w:tcW w:w="2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pPr>
            <w:r>
              <w:rPr/>
              <w:t> </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(3,724</w:t>
            </w:r>
          </w:p>
        </w:tc>
        <w:tc>
          <w:tcPr>
            <w:tcW w:w="1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6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jc w:val="left"/>
              <w:rPr/>
            </w:pPr>
            <w:r>
              <w:rPr/>
              <w:t> </w:t>
            </w:r>
          </w:p>
        </w:tc>
        <w:tc>
          <w:tcPr>
            <w:tcW w:w="3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3,677</w:t>
            </w:r>
          </w:p>
        </w:tc>
        <w:tc>
          <w:tcPr>
            <w:tcW w:w="123" w:type="dxa"/>
            <w:tcBorders>
              <w:bottom w:val="double" w:sz="6" w:space="0" w:color="000000"/>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8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(1,816</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(1,078</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34" w:type="dxa"/>
        <w:jc w:val="left"/>
        <w:tblInd w:w="0" w:type="dxa"/>
        <w:tblLayout w:type="fixed"/>
        <w:tblCellMar>
          <w:top w:w="0" w:type="dxa"/>
          <w:left w:w="0" w:type="dxa"/>
          <w:bottom w:w="28" w:type="dxa"/>
          <w:right w:w="0" w:type="dxa"/>
        </w:tblCellMar>
      </w:tblPr>
      <w:tblGrid>
        <w:gridCol w:w="3380"/>
        <w:gridCol w:w="60"/>
        <w:gridCol w:w="122"/>
        <w:gridCol w:w="543"/>
        <w:gridCol w:w="86"/>
        <w:gridCol w:w="64"/>
        <w:gridCol w:w="125"/>
        <w:gridCol w:w="554"/>
        <w:gridCol w:w="80"/>
        <w:gridCol w:w="60"/>
        <w:gridCol w:w="198"/>
        <w:gridCol w:w="632"/>
        <w:gridCol w:w="80"/>
        <w:gridCol w:w="60"/>
        <w:gridCol w:w="142"/>
        <w:gridCol w:w="628"/>
        <w:gridCol w:w="80"/>
        <w:gridCol w:w="60"/>
        <w:gridCol w:w="286"/>
        <w:gridCol w:w="679"/>
        <w:gridCol w:w="80"/>
        <w:gridCol w:w="60"/>
        <w:gridCol w:w="110"/>
        <w:gridCol w:w="48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jc w:val="left"/>
              <w:rPr/>
            </w:pPr>
            <w:r>
              <w:rPr/>
              <w:t> </w:t>
            </w:r>
          </w:p>
        </w:tc>
        <w:tc>
          <w:tcPr>
            <w:tcW w:w="632"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62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jc w:val="left"/>
              <w:rPr/>
            </w:pPr>
            <w:r>
              <w:rPr/>
              <w:t> </w:t>
            </w:r>
          </w:p>
        </w:tc>
        <w:tc>
          <w:tcPr>
            <w:tcW w:w="67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Asset Management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Bimini</w:t>
            </w:r>
          </w:p>
        </w:tc>
        <w:tc>
          <w:tcPr>
            <w:tcW w:w="86"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Advisors</w:t>
            </w:r>
          </w:p>
        </w:tc>
        <w:tc>
          <w:tcPr>
            <w:tcW w:w="86"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4"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Tota</w:t>
            </w:r>
            <w:r>
              <w:rPr>
                <w:rFonts w:ascii="Times New Roman;Times;serif" w:hAnsi="Times New Roman;Times;serif"/>
                <w:sz w:val="18"/>
              </w:rPr>
              <w:t>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5,078</w:t>
            </w:r>
          </w:p>
        </w:tc>
        <w:tc>
          <w:tcPr>
            <w:tcW w:w="86"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6"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6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5,098</w:t>
            </w:r>
          </w:p>
        </w:tc>
        <w:tc>
          <w:tcPr>
            <w:tcW w:w="86"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6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7,228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5,098</w:t>
            </w:r>
          </w:p>
        </w:tc>
        <w:tc>
          <w:tcPr>
            <w:tcW w:w="86"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6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6,585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ind w:left="0" w:right="0" w:hanging="0"/>
              <w:jc w:val="left"/>
              <w:rPr/>
            </w:pPr>
            <w:r>
              <w:rPr/>
              <w:t> </w:t>
            </w:r>
          </w:p>
        </w:tc>
        <w:tc>
          <w:tcPr>
            <w:tcW w:w="6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6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(2,565</w:t>
            </w:r>
          </w:p>
        </w:tc>
        <w:tc>
          <w:tcPr>
            <w:tcW w:w="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6" w:type="dxa"/>
            <w:tcBorders>
              <w:bottom w:val="single" w:sz="2" w:space="0" w:color="000000"/>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2,481</w:t>
            </w:r>
          </w:p>
        </w:tc>
        <w:tc>
          <w:tcPr>
            <w:tcW w:w="86" w:type="dxa"/>
            <w:tcBorders>
              <w:bottom w:val="double" w:sz="6" w:space="0" w:color="000000"/>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380"/>
        <w:gridCol w:w="60"/>
        <w:gridCol w:w="169"/>
        <w:gridCol w:w="748"/>
        <w:gridCol w:w="123"/>
        <w:gridCol w:w="91"/>
        <w:gridCol w:w="388"/>
        <w:gridCol w:w="291"/>
        <w:gridCol w:w="60"/>
        <w:gridCol w:w="60"/>
        <w:gridCol w:w="153"/>
        <w:gridCol w:w="677"/>
        <w:gridCol w:w="80"/>
        <w:gridCol w:w="60"/>
        <w:gridCol w:w="142"/>
        <w:gridCol w:w="628"/>
        <w:gridCol w:w="80"/>
        <w:gridCol w:w="60"/>
        <w:gridCol w:w="286"/>
        <w:gridCol w:w="679"/>
        <w:gridCol w:w="80"/>
        <w:gridCol w:w="60"/>
        <w:gridCol w:w="110"/>
        <w:gridCol w:w="48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12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8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1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42" w:type="dxa"/>
            <w:tcBorders/>
            <w:shd w:fill="FFFFFF" w:val="clear"/>
            <w:tcMar>
              <w:bottom w:w="0" w:type="dxa"/>
            </w:tcMar>
            <w:vAlign w:val="center"/>
          </w:tcPr>
          <w:p>
            <w:pPr>
              <w:pStyle w:val="TableContents"/>
              <w:bidi w:val="0"/>
              <w:spacing w:before="0" w:after="0"/>
              <w:ind w:left="0" w:right="0" w:hanging="0"/>
              <w:jc w:val="left"/>
              <w:rPr/>
            </w:pPr>
            <w:r>
              <w:rPr/>
              <w:t> </w:t>
            </w:r>
          </w:p>
        </w:tc>
        <w:tc>
          <w:tcPr>
            <w:tcW w:w="628" w:type="dxa"/>
            <w:tcBorders/>
            <w:shd w:fill="FFFFFF" w:val="clear"/>
            <w:tcMar>
              <w:bottom w:w="0" w:type="dxa"/>
            </w:tcMar>
            <w:vAlign w:val="center"/>
          </w:tcPr>
          <w:p>
            <w:pPr>
              <w:pStyle w:val="TableContents"/>
              <w:bidi w:val="0"/>
              <w:spacing w:before="0" w:after="0"/>
              <w:ind w:left="0" w:right="0" w:hanging="0"/>
              <w:jc w:val="center"/>
              <w:rPr/>
            </w:pPr>
            <w:r>
              <w:rPr>
                <w:rStyle w:val="Emphasis"/>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86" w:type="dxa"/>
            <w:tcBorders/>
            <w:shd w:fill="FFFFFF" w:val="clear"/>
            <w:tcMar>
              <w:bottom w:w="0" w:type="dxa"/>
            </w:tcMar>
            <w:vAlign w:val="center"/>
          </w:tcPr>
          <w:p>
            <w:pPr>
              <w:pStyle w:val="TableContents"/>
              <w:bidi w:val="0"/>
              <w:spacing w:before="0" w:after="0"/>
              <w:ind w:left="0" w:right="0" w:hanging="0"/>
              <w:jc w:val="left"/>
              <w:rPr/>
            </w:pPr>
            <w:r>
              <w:rPr/>
              <w:t> </w:t>
            </w:r>
          </w:p>
        </w:tc>
        <w:tc>
          <w:tcPr>
            <w:tcW w:w="679" w:type="dxa"/>
            <w:tcBorders/>
            <w:shd w:fill="FFFFFF" w:val="clear"/>
            <w:tcMar>
              <w:bottom w:w="0" w:type="dxa"/>
            </w:tcMar>
            <w:vAlign w:val="center"/>
          </w:tcPr>
          <w:p>
            <w:pPr>
              <w:pStyle w:val="TableContents"/>
              <w:bidi w:val="0"/>
              <w:spacing w:before="0" w:after="0"/>
              <w:ind w:left="0" w:right="0" w:hanging="0"/>
              <w:jc w:val="center"/>
              <w:rPr/>
            </w:pPr>
            <w:r>
              <w:rPr>
                <w:rStyle w:val="Emphasis"/>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pPr>
            <w:r>
              <w:rPr>
                <w:rStyle w:val="Emphasis"/>
              </w:rPr>
              <w:t> </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7"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Bimini</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right w:val="single" w:sz="2" w:space="0" w:color="000000"/>
            </w:tcBorders>
            <w:shd w:fill="FFFFFF" w:val="clear"/>
            <w:tcMar>
              <w:bottom w:w="0" w:type="dxa"/>
              <w:right w:w="28"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Advisors</w:t>
            </w:r>
          </w:p>
        </w:tc>
        <w:tc>
          <w:tcPr>
            <w:tcW w:w="123"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1"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Tota</w:t>
            </w:r>
            <w:r>
              <w:rPr>
                <w:rFonts w:ascii="Times New Roman;Times;serif" w:hAnsi="Times New Roman;Times;serif"/>
                <w:sz w:val="18"/>
              </w:rPr>
              <w:t>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3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3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3,851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5,598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3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ind w:left="0" w:right="0" w:hanging="0"/>
              <w:jc w:val="left"/>
              <w:rPr/>
            </w:pPr>
            <w:r>
              <w:rPr/>
              <w:t> </w:t>
            </w:r>
          </w:p>
        </w:tc>
        <w:tc>
          <w:tcPr>
            <w:tcW w:w="2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pPr>
            <w:r>
              <w:rPr/>
              <w:t> </w:t>
            </w:r>
          </w:p>
        </w:tc>
        <w:tc>
          <w:tcPr>
            <w:tcW w:w="6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6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1" w:type="dxa"/>
            <w:tcBorders/>
            <w:shd w:fill="CCEEFF" w:val="clear"/>
            <w:tcMar>
              <w:bottom w:w="0" w:type="dxa"/>
            </w:tcMar>
            <w:vAlign w:val="center"/>
          </w:tcPr>
          <w:p>
            <w:pPr>
              <w:pStyle w:val="TableContents"/>
              <w:bidi w:val="0"/>
              <w:spacing w:before="0" w:after="283"/>
              <w:jc w:val="left"/>
              <w:rPr/>
            </w:pPr>
            <w:r>
              <w:rPr/>
              <w:t> </w:t>
            </w:r>
          </w:p>
        </w:tc>
        <w:tc>
          <w:tcPr>
            <w:tcW w:w="388" w:type="dxa"/>
            <w:tcBorders/>
            <w:shd w:fill="CCEEFF" w:val="clear"/>
            <w:tcMar>
              <w:bottom w:w="0" w:type="dxa"/>
            </w:tcMar>
            <w:vAlign w:val="center"/>
          </w:tcPr>
          <w:p>
            <w:pPr>
              <w:pStyle w:val="TableContents"/>
              <w:bidi w:val="0"/>
              <w:spacing w:before="0" w:after="283"/>
              <w:ind w:left="0" w:right="0" w:hanging="0"/>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6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(1,881</w:t>
            </w:r>
          </w:p>
        </w:tc>
        <w:tc>
          <w:tcPr>
            <w:tcW w:w="1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1" w:type="dxa"/>
            <w:tcBorders/>
            <w:shd w:fill="FFFFFF" w:val="clear"/>
            <w:tcMar>
              <w:bottom w:w="0" w:type="dxa"/>
            </w:tcMar>
            <w:vAlign w:val="center"/>
          </w:tcPr>
          <w:p>
            <w:pPr>
              <w:pStyle w:val="TableContents"/>
              <w:bidi w:val="0"/>
              <w:spacing w:before="0" w:after="283"/>
              <w:jc w:val="left"/>
              <w:rPr/>
            </w:pPr>
            <w:r>
              <w:rPr/>
              <w:t> </w:t>
            </w:r>
          </w:p>
        </w:tc>
        <w:tc>
          <w:tcPr>
            <w:tcW w:w="388" w:type="dxa"/>
            <w:tcBorders/>
            <w:shd w:fill="FFFFFF" w:val="clear"/>
            <w:tcMar>
              <w:bottom w:w="0" w:type="dxa"/>
            </w:tcMar>
            <w:vAlign w:val="center"/>
          </w:tcPr>
          <w:p>
            <w:pPr>
              <w:pStyle w:val="TableContents"/>
              <w:bidi w:val="0"/>
              <w:spacing w:before="0" w:after="283"/>
              <w:jc w:val="left"/>
              <w:rPr/>
            </w:pPr>
            <w:r>
              <w:rPr/>
              <w:t> </w:t>
            </w:r>
          </w:p>
        </w:tc>
        <w:tc>
          <w:tcPr>
            <w:tcW w:w="29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6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6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jc w:val="left"/>
              <w:rPr/>
            </w:pPr>
            <w:r>
              <w:rPr/>
              <w:t> </w:t>
            </w:r>
          </w:p>
        </w:tc>
        <w:tc>
          <w:tcPr>
            <w:tcW w:w="3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1,939</w:t>
            </w:r>
          </w:p>
        </w:tc>
        <w:tc>
          <w:tcPr>
            <w:tcW w:w="123" w:type="dxa"/>
            <w:tcBorders>
              <w:bottom w:val="double" w:sz="6" w:space="0" w:color="000000"/>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8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fees paid by Royal Palm to Bimini Advisors for advisory services at an annualized rate of 1.5% of capital allocated to Royal Palm's MBS portfolio.</w:t>
            </w:r>
          </w:p>
        </w:tc>
      </w:tr>
      <w:tr>
        <w:trPr/>
        <w:tc>
          <w:tcPr>
            <w:tcW w:w="217"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interest on repurchase agreements in the Investment Portfolio column and long-term debt in the Corporate column.</w:t>
            </w:r>
          </w:p>
        </w:tc>
      </w:tr>
      <w:tr>
        <w:trPr/>
        <w:tc>
          <w:tcPr>
            <w:tcW w:w="217"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3</w:t>
            </w:r>
            <w:r>
              <w:rPr>
                <w:rFonts w:ascii="Times New Roman" w:hAnsi="Times New Roman"/>
                <w:caps w:val="false"/>
                <w:smallCaps w:val="false"/>
                <w:sz w:val="18"/>
              </w:rPr>
              <w:t>)</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Operating expenses are allocated based on each segment’s proportional share of total revenues.</w:t>
            </w:r>
          </w:p>
        </w:tc>
      </w:tr>
      <w:tr>
        <w:trPr/>
        <w:tc>
          <w:tcPr>
            <w:tcW w:w="217" w:type="dxa"/>
            <w:tcBorders/>
            <w:vAlign w:val="center"/>
          </w:tcPr>
          <w:p>
            <w:pPr>
              <w:pStyle w:val="TableContents"/>
              <w:bidi w:val="0"/>
              <w:spacing w:before="0" w:after="283"/>
              <w:jc w:val="left"/>
              <w:rPr/>
            </w:pPr>
            <w:r>
              <w:rPr>
                <w:sz w:val="18"/>
              </w:rPr>
              <w:t>(</w:t>
            </w:r>
            <w:r>
              <w:rPr>
                <w:rStyle w:val="Emphasis"/>
                <w:sz w:val="18"/>
              </w:rPr>
              <w:t>4</w:t>
            </w:r>
            <w:r>
              <w:rPr>
                <w:sz w:val="18"/>
              </w:rPr>
              <w:t>)</w:t>
            </w:r>
          </w:p>
        </w:tc>
        <w:tc>
          <w:tcPr>
            <w:tcW w:w="9988" w:type="dxa"/>
            <w:tcBorders/>
            <w:vAlign w:val="center"/>
          </w:tcPr>
          <w:p>
            <w:pPr>
              <w:pStyle w:val="TableContents"/>
              <w:bidi w:val="0"/>
              <w:spacing w:before="0" w:after="283"/>
              <w:jc w:val="left"/>
              <w:rPr/>
            </w:pPr>
            <w:r>
              <w:rPr>
                <w:sz w:val="18"/>
              </w:rPr>
              <w:t xml:space="preserve">The activity and results of operations of TJIM prior to </w:t>
            </w:r>
            <w:r>
              <w:rPr>
                <w:rStyle w:val="Emphasis"/>
                <w:sz w:val="18"/>
              </w:rPr>
              <w:t xml:space="preserve">April 1, 2026, </w:t>
            </w:r>
            <w:r>
              <w:rPr>
                <w:sz w:val="18"/>
              </w:rPr>
              <w:t xml:space="preserve">the closing date of the TJIM Acquisition, are </w:t>
            </w:r>
            <w:r>
              <w:rPr>
                <w:rStyle w:val="Emphasis"/>
                <w:sz w:val="18"/>
              </w:rPr>
              <w:t>not</w:t>
            </w:r>
            <w:r>
              <w:rPr>
                <w:sz w:val="18"/>
              </w:rPr>
              <w:t xml:space="preserve"> included.</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21</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Assets in each reportable segment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5706" w:type="dxa"/>
        <w:jc w:val="left"/>
        <w:tblInd w:w="0" w:type="dxa"/>
        <w:tblLayout w:type="fixed"/>
        <w:tblCellMar>
          <w:top w:w="0" w:type="dxa"/>
          <w:left w:w="0" w:type="dxa"/>
          <w:bottom w:w="28" w:type="dxa"/>
          <w:right w:w="0" w:type="dxa"/>
        </w:tblCellMar>
      </w:tblPr>
      <w:tblGrid>
        <w:gridCol w:w="1415"/>
        <w:gridCol w:w="60"/>
        <w:gridCol w:w="136"/>
        <w:gridCol w:w="529"/>
        <w:gridCol w:w="67"/>
        <w:gridCol w:w="67"/>
        <w:gridCol w:w="122"/>
        <w:gridCol w:w="575"/>
        <w:gridCol w:w="60"/>
        <w:gridCol w:w="60"/>
        <w:gridCol w:w="127"/>
        <w:gridCol w:w="703"/>
        <w:gridCol w:w="60"/>
        <w:gridCol w:w="60"/>
        <w:gridCol w:w="95"/>
        <w:gridCol w:w="675"/>
        <w:gridCol w:w="60"/>
        <w:gridCol w:w="60"/>
        <w:gridCol w:w="110"/>
        <w:gridCol w:w="605"/>
        <w:gridCol w:w="60"/>
      </w:tblGrid>
      <w:tr>
        <w:trPr/>
        <w:tc>
          <w:tcPr>
            <w:tcW w:w="14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529"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70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6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Bimini</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Advisors</w:t>
            </w:r>
          </w:p>
        </w:tc>
        <w:tc>
          <w:tcPr>
            <w:tcW w:w="67"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7"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TJIM</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Portfolio</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Corporate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2,668</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64,366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2,617</w:t>
            </w:r>
          </w:p>
        </w:tc>
        <w:tc>
          <w:tcPr>
            <w:tcW w:w="67"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120,751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129,694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a result of the TJIM Acquisition, the composition of the Company’s business changed both from the perspective of how its capital is deployed and how it reports its results for its operating segments. The TJIM Acquisition required the deployment of a significant portion of the Company’s capital, including most of the capital deployed into the investment portfolio prior to the TJIM Acquisition.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At both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owned 569,071 shares of Orchid common stock, representing approximately 0.3% of Orchid’s outstanding common stock on such dates. The Company received dividends on this common stock investment of approximately $0.4 million and $0.4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$0.2 million and $0.2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Robert Cauley, the Chief Executive Officer and Chairman of the Board of Directors of the Company, also serves as Chief Executive Officer and Chairman of the Board of Directors of Orchid, participates in Orchid's long term incentive compensation plan, and owns shares of common stock of Orchid. In addition, Hunter Haas, the Chief Financial Officer, Chief Investment Officer, Treasurer and member of the Board of Directors of the Company, also serves as Chief Financial Officer, Chief Investment Officer and Secretary of Orchid, is a member of Orchid’s Board of Directors, participates in Orchid's long term incentive compensation plan, and owns shares of common stock of Orchid. Robert J. Dwyer, an independent director of the Company, owns shares of common stock of Orchid.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the Company acquired 80% of the outstanding equity interests of TJIM See Note </w:t>
      </w:r>
      <w:r>
        <w:rPr>
          <w:rStyle w:val="Emphasis"/>
          <w:rFonts w:ascii="Times New Roman" w:hAnsi="Times New Roman"/>
          <w:caps w:val="false"/>
          <w:smallCaps w:val="false"/>
          <w:sz w:val="20"/>
        </w:rPr>
        <w:t>1.</w:t>
      </w:r>
      <w:r>
        <w:rPr>
          <w:rFonts w:ascii="Times New Roman" w:hAnsi="Times New Roman"/>
          <w:caps w:val="false"/>
          <w:smallCaps w:val="false"/>
          <w:sz w:val="20"/>
        </w:rPr>
        <w:t> TJIM provides discretionary and non-discretionary investment advisory services to institutional investors, high-net-worth individuals, retirement plans, sub advisory platforms, and foundations. The acquisition expands the Company’s operations into fee-based investment management and wealth advisory services and is expected to enhance recurring revenues and long-term growth opportunities.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Purchase Consideration</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aggregate purchase consideration was approximately $12.3 million, consisting of the following:</w:t>
      </w:r>
    </w:p>
    <w:p>
      <w:pPr>
        <w:pStyle w:val="TextBody"/>
        <w:bidi w:val="0"/>
        <w:spacing w:before="0" w:after="0"/>
        <w:ind w:left="160" w:right="0" w:firstLine="360"/>
        <w:jc w:val="left"/>
        <w:rPr>
          <w:caps w:val="false"/>
          <w:smallCaps w:val="false"/>
        </w:rPr>
      </w:pPr>
      <w:r>
        <w:rPr>
          <w:caps w:val="false"/>
          <w:smallCaps w:val="false"/>
        </w:rPr>
        <w:t> </w:t>
      </w:r>
    </w:p>
    <w:tbl>
      <w:tblPr>
        <w:tblW w:w="4080" w:type="dxa"/>
        <w:jc w:val="left"/>
        <w:tblInd w:w="0" w:type="dxa"/>
        <w:tblLayout w:type="fixed"/>
        <w:tblCellMar>
          <w:top w:w="0" w:type="dxa"/>
          <w:left w:w="0" w:type="dxa"/>
          <w:bottom w:w="28" w:type="dxa"/>
          <w:right w:w="0" w:type="dxa"/>
        </w:tblCellMar>
      </w:tblPr>
      <w:tblGrid>
        <w:gridCol w:w="3335"/>
        <w:gridCol w:w="60"/>
        <w:gridCol w:w="110"/>
        <w:gridCol w:w="515"/>
        <w:gridCol w:w="60"/>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xml:space="preserve">(in thousands)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consideration, including transaction costs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Fair value of deferred consideration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3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consideration</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12,316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purchase agreement provides for a deferred payment of approximately $0.3 million payable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closing together with interest at 5% per annum. The obligation is fixed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upon future performance or continued employment.</w:t>
      </w:r>
    </w:p>
    <w:p>
      <w:pPr>
        <w:pStyle w:val="TextBody"/>
        <w:bidi w:val="0"/>
        <w:spacing w:before="0" w:after="0"/>
        <w:ind w:left="520" w:right="0" w:hanging="0"/>
        <w:jc w:val="both"/>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summarizes the preliminary allocation of purchase consideration to the assets acquired and liabilities assumed as of </w:t>
      </w:r>
      <w:r>
        <w:rPr>
          <w:rStyle w:val="Emphasis"/>
          <w:rFonts w:ascii="Times New Roman" w:hAnsi="Times New Roman"/>
          <w:caps w:val="false"/>
          <w:smallCaps w:val="false"/>
          <w:sz w:val="20"/>
        </w:rPr>
        <w:t>April 1 2026. </w:t>
      </w:r>
      <w:r>
        <w:rPr>
          <w:rFonts w:ascii="Times New Roman" w:hAnsi="Times New Roman"/>
          <w:caps w:val="false"/>
          <w:smallCaps w:val="false"/>
          <w:sz w:val="20"/>
        </w:rPr>
        <w:t>The preliminary purchase price allocation is based on management's current estimates and assumptions and remains subject to change during the measurement period as additional information becomes available regarding the final working capital adjustment. Any measurement period adjustments could be material to the Company's consolidated financial statements.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22</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3275" w:type="dxa"/>
        <w:jc w:val="left"/>
        <w:tblInd w:w="0" w:type="dxa"/>
        <w:tblLayout w:type="fixed"/>
        <w:tblCellMar>
          <w:top w:w="0" w:type="dxa"/>
          <w:left w:w="0" w:type="dxa"/>
          <w:bottom w:w="28" w:type="dxa"/>
          <w:right w:w="0" w:type="dxa"/>
        </w:tblCellMar>
      </w:tblPr>
      <w:tblGrid>
        <w:gridCol w:w="2510"/>
        <w:gridCol w:w="60"/>
        <w:gridCol w:w="110"/>
        <w:gridCol w:w="515"/>
        <w:gridCol w:w="80"/>
      </w:tblGrid>
      <w:tr>
        <w:trPr/>
        <w:tc>
          <w:tcPr>
            <w:tcW w:w="2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consideration</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12,316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Allocated 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Identifiable intangibles,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Redeemable noncontrolling interest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Goodwill</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4,839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Identifiable intangible assets consist of tradenames and client relationships. These intangible assets are being amortized over estimated useful lives ranging from 10 to 15 years. See Note </w:t>
      </w:r>
      <w:r>
        <w:rPr>
          <w:rStyle w:val="Emphasis"/>
          <w:rFonts w:ascii="Times New Roman" w:hAnsi="Times New Roman"/>
          <w:caps w:val="false"/>
          <w:smallCaps w:val="false"/>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Goodwill recognized in connection with the acquisition primarily represents expected synergies, the assembled workforce, and other future economic benefits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separate recognition. Goodwill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amortized. Instead, goodwill will be tested for impairment at least annually, or more frequently in the case of a triggering event. Goodwill was allocated to the asset management segment of TJIM. Goodwill is expected to be deductible for tax purposes. See Note </w:t>
      </w:r>
      <w:r>
        <w:rPr>
          <w:rStyle w:val="Emphasis"/>
          <w:rFonts w:ascii="Times New Roman" w:hAnsi="Times New Roman"/>
          <w:caps w:val="false"/>
          <w:smallCaps w:val="false"/>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Redeemable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At the acquisition date, the redeemable noncontrolling interest was initially measured at its acquisition-date fair value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The fair value was determined using a market participant perspective and incorporated significant unobservable inputs, including projected future cash flows, expected growth rates, profitability assumptions, market multiples of comparable companies, and an appropriate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incurred acquisition-related costs of approximately $1.5 million and $0.9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respectively, which were recorded within audit, legal and other professional fees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TJIM Acquisition contributed $1.7 million in revenue and $0.6 million in earnings during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TJIM Acquisition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completed until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fiscal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as such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contribute any revenue or earnings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unaudited pro forma financial information presents the combined results of operations of the Company and TJIM as if the acquisition had occurred on </w:t>
      </w:r>
      <w:r>
        <w:rPr>
          <w:rStyle w:val="Emphasis"/>
          <w:rFonts w:ascii="Times New Roman" w:hAnsi="Times New Roman"/>
          <w:caps w:val="false"/>
          <w:smallCaps w:val="false"/>
          <w:sz w:val="20"/>
        </w:rPr>
        <w:t>January 1, 2025:</w:t>
      </w:r>
    </w:p>
    <w:p>
      <w:pPr>
        <w:pStyle w:val="TextBody"/>
        <w:bidi w:val="0"/>
        <w:spacing w:before="0" w:after="0"/>
        <w:ind w:left="160" w:right="0" w:firstLine="360"/>
        <w:jc w:val="left"/>
        <w:rPr>
          <w:caps w:val="false"/>
          <w:smallCaps w:val="false"/>
        </w:rPr>
      </w:pPr>
      <w:r>
        <w:rPr>
          <w:caps w:val="false"/>
          <w:smallCaps w:val="false"/>
        </w:rPr>
        <w:t> </w:t>
      </w:r>
    </w:p>
    <w:tbl>
      <w:tblPr>
        <w:tblW w:w="9805" w:type="dxa"/>
        <w:jc w:val="left"/>
        <w:tblInd w:w="0" w:type="dxa"/>
        <w:tblLayout w:type="fixed"/>
        <w:tblCellMar>
          <w:top w:w="0" w:type="dxa"/>
          <w:left w:w="0" w:type="dxa"/>
          <w:bottom w:w="28" w:type="dxa"/>
          <w:right w:w="0" w:type="dxa"/>
        </w:tblCellMar>
      </w:tblPr>
      <w:tblGrid>
        <w:gridCol w:w="5165"/>
        <w:gridCol w:w="60"/>
        <w:gridCol w:w="169"/>
        <w:gridCol w:w="791"/>
        <w:gridCol w:w="92"/>
        <w:gridCol w:w="92"/>
        <w:gridCol w:w="169"/>
        <w:gridCol w:w="791"/>
        <w:gridCol w:w="60"/>
        <w:gridCol w:w="60"/>
        <w:gridCol w:w="212"/>
        <w:gridCol w:w="821"/>
        <w:gridCol w:w="115"/>
        <w:gridCol w:w="115"/>
        <w:gridCol w:w="212"/>
        <w:gridCol w:w="821"/>
        <w:gridCol w:w="60"/>
      </w:tblGrid>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791"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79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jc w:val="left"/>
              <w:rPr/>
            </w:pPr>
            <w:r>
              <w:rPr/>
              <w:t> </w:t>
            </w:r>
          </w:p>
        </w:tc>
        <w:tc>
          <w:tcPr>
            <w:tcW w:w="821"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jc w:val="left"/>
              <w:rPr/>
            </w:pPr>
            <w:r>
              <w:rPr/>
              <w:t> </w:t>
            </w:r>
          </w:p>
        </w:tc>
        <w:tc>
          <w:tcPr>
            <w:tcW w:w="82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6"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Revenue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15,305</w:t>
            </w:r>
          </w:p>
        </w:tc>
        <w:tc>
          <w:tcPr>
            <w:tcW w:w="92"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7,228</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1,699</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attributable to Bimini Capital Management, Inc.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1,619</w:t>
            </w:r>
          </w:p>
        </w:tc>
        <w:tc>
          <w:tcPr>
            <w:tcW w:w="92"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498</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 net income per share of:</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0.16</w:t>
            </w:r>
          </w:p>
        </w:tc>
        <w:tc>
          <w:tcPr>
            <w:tcW w:w="9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c>
          <w:tcPr>
            <w:tcW w:w="11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unaudited pro forma information is presented for informational purposes only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reflect the results of operations that would have occurred had the acquisition been completed on the date indicated, nor is it indicative of future operating results.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jc w:val="center"/>
        <w:rPr/>
      </w:pPr>
      <w:r>
        <w:rPr>
          <w:rFonts w:ascii="Times New Roman;Times;serif" w:hAnsi="Times New Roman;Times;serif"/>
          <w:sz w:val="20"/>
        </w:rPr>
        <w:t xml:space="preserve">- </w:t>
      </w:r>
      <w:r>
        <w:rPr>
          <w:rStyle w:val="Emphasis"/>
          <w:rFonts w:ascii="Times New Roman;Times;serif" w:hAnsi="Times New Roman;Times;serif"/>
          <w:sz w:val="20"/>
        </w:rPr>
        <w:t>23</w:t>
      </w:r>
      <w:r>
        <w:rPr>
          <w:rFonts w:ascii="Times New Roman;Times;serif" w:hAnsi="Times New Roman;Times;serif"/>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discussion of our consolidated financial condition, cash flows, and results of operations should be read in conjunction with the consolidated financial statements and notes to those statements included in Item 1 of this Form 10-Q. The discussion may contain certain forward-looking statements that involve risks and uncertainties. As a result of many factors, such as those set forth under “Risk Factors” in our most recent Annual Report on Form 10-K, our actual results may differ materially from those anticipated in such forward-looking statements. In addition, please see the section "Special Note Regarding Forward-Looking Statements" included at the beginning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Bimini Capital Management, Inc., a Maryland corporation (“Bimini Capital” and, collectively with its subsidiaries, the “Company,” “we”, “us” or “our”) is a specialty finance company that operates in three business segments: (i) the asset management segment of Bimini Advisors, LLC (together with Bimini Advisors Holdings, LLC, “Bimini Advisors”) (serving as the external manager of Orchid Island Capital, Inc. (“Orchid”)), (ii) the asset management segment of Tom Johnson Investment Management, LLC (“TJIM”)  (providing investment advisory and wealth management services to individuals, high-net-worth families, retirement plans, foundations, and institutions), and (iii) the investment portfolio segment (investing through our wholly owned subsidiary, Royal Palm Capital, LLC (collectively with its wholly owned subsidiaries, “Royal Palm”), in mortgage-backed securities (“MBS”) and Orchid common stock in our own portfolio). See Note 14. In the two segments where we invest in MBS, in both cases, the principal and interest payments of these MBS are guaranteed by Fannie Mae, Freddie Mac or the Government National Mortgage Association (“Ginnie Mae” and, collectively with Fannie Mae and Freddie Mac, “GSEs”) and are backed primarily by single-family residential mortgage loans. We refer to these types of MBS as “Agency MBS.” Our investment strategy focuses on, and our portfolios primarily consist of traditional pass-through (“PT”) Agency MBS, such as mortgage pass-through certificates and collateralized mortgage obligations (“CMOs”) issued by the GSEs (“PT MBS”); and structured Agency MBS, such as interest only securities (“IOs”), inverse interest only securities (“IIOs”) and principal only securities (“POs”).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Significant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April 1, 2026, the Company completed the acquisition of an 80% ownership stake in TJIM. As a result of the acquisition, the Company expanded beyond investing in MBS securities solely and into investment management across equity, fixed income, and balanced strategies for individuals, high-net-worth families, retirement plans, foundations, and institutions. Unless stated otherwise, the financial information contained in this Item 2 regarding the results of operations and financial condition of TJIM take into account only the results of operations, financial condition, and performance of TJIM after April 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acquisition expanded the nature of the Company’s operations and revenue composition. Following the acquisition, a portion of the Company’s revenues is derived from recurring management fees based on assets under management ("AUM").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Management believes the acquisition provides:</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170"/>
        <w:gridCol w:w="2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expanded recurring revenue streams;</w:t>
            </w:r>
          </w:p>
        </w:tc>
      </w:tr>
    </w:tbl>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exposure to fee-based advisory businesses;</w:t>
            </w:r>
          </w:p>
        </w:tc>
      </w:tr>
    </w:tbl>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enhanced cash flow generation opportunities;</w:t>
            </w:r>
          </w:p>
        </w:tc>
      </w:tr>
    </w:tbl>
    <w:tbl>
      <w:tblPr>
        <w:tblW w:w="3055" w:type="dxa"/>
        <w:jc w:val="left"/>
        <w:tblInd w:w="0" w:type="dxa"/>
        <w:tblLayout w:type="fixed"/>
        <w:tblCellMar>
          <w:top w:w="0" w:type="dxa"/>
          <w:left w:w="0" w:type="dxa"/>
          <w:bottom w:w="0" w:type="dxa"/>
          <w:right w:w="0" w:type="dxa"/>
        </w:tblCellMar>
      </w:tblPr>
      <w:tblGrid>
        <w:gridCol w:w="60"/>
        <w:gridCol w:w="170"/>
        <w:gridCol w:w="2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expanded client relationships; and</w:t>
            </w:r>
          </w:p>
        </w:tc>
      </w:tr>
    </w:tbl>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long-term growth opportunities in asset and wealth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- 24 -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360"/>
        <w:jc w:val="left"/>
        <w:rPr>
          <w:rFonts w:ascii="Times New Roman" w:hAnsi="Times New Roman"/>
          <w:caps w:val="false"/>
          <w:smallCaps w:val="false"/>
          <w:sz w:val="20"/>
          <w:u w:val="single"/>
        </w:rPr>
      </w:pPr>
      <w:r>
        <w:rPr>
          <w:rFonts w:ascii="Times New Roman" w:hAnsi="Times New Roman"/>
          <w:caps w:val="false"/>
          <w:smallCaps w:val="false"/>
          <w:sz w:val="20"/>
          <w:u w:val="single"/>
        </w:rPr>
        <w:t>Key Business Metrics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Management monitors several operating metrics with respect to TJIM, including:</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 under management;</w:t>
            </w:r>
          </w:p>
        </w:tc>
      </w:tr>
    </w:tbl>
    <w:tbl>
      <w:tblPr>
        <w:tblW w:w="2815" w:type="dxa"/>
        <w:jc w:val="left"/>
        <w:tblInd w:w="0" w:type="dxa"/>
        <w:tblLayout w:type="fixed"/>
        <w:tblCellMar>
          <w:top w:w="0" w:type="dxa"/>
          <w:left w:w="0" w:type="dxa"/>
          <w:bottom w:w="0" w:type="dxa"/>
          <w:right w:w="0" w:type="dxa"/>
        </w:tblCellMar>
      </w:tblPr>
      <w:tblGrid>
        <w:gridCol w:w="60"/>
        <w:gridCol w:w="170"/>
        <w:gridCol w:w="2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client inflows and outflows;</w:t>
            </w:r>
          </w:p>
        </w:tc>
      </w:tr>
    </w:tbl>
    <w:tbl>
      <w:tblPr>
        <w:tblW w:w="2260" w:type="dxa"/>
        <w:jc w:val="left"/>
        <w:tblInd w:w="0" w:type="dxa"/>
        <w:tblLayout w:type="fixed"/>
        <w:tblCellMar>
          <w:top w:w="0" w:type="dxa"/>
          <w:left w:w="0" w:type="dxa"/>
          <w:bottom w:w="0" w:type="dxa"/>
          <w:right w:w="0" w:type="dxa"/>
        </w:tblCellMar>
      </w:tblPr>
      <w:tblGrid>
        <w:gridCol w:w="60"/>
        <w:gridCol w:w="170"/>
        <w:gridCol w:w="2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performance;</w:t>
            </w:r>
          </w:p>
        </w:tc>
      </w:tr>
    </w:tbl>
    <w:tbl>
      <w:tblPr>
        <w:tblW w:w="970" w:type="dxa"/>
        <w:jc w:val="left"/>
        <w:tblInd w:w="0" w:type="dxa"/>
        <w:tblLayout w:type="fixed"/>
        <w:tblCellMar>
          <w:top w:w="0" w:type="dxa"/>
          <w:left w:w="0" w:type="dxa"/>
          <w:bottom w:w="0" w:type="dxa"/>
          <w:right w:w="0" w:type="dxa"/>
        </w:tblCellMar>
      </w:tblPr>
      <w:tblGrid>
        <w:gridCol w:w="60"/>
        <w:gridCol w:w="170"/>
        <w:gridCol w:w="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 rates;</w:t>
            </w:r>
          </w:p>
        </w:tc>
      </w:tr>
    </w:tbl>
    <w:tbl>
      <w:tblPr>
        <w:tblW w:w="1555" w:type="dxa"/>
        <w:jc w:val="left"/>
        <w:tblInd w:w="0" w:type="dxa"/>
        <w:tblLayout w:type="fixed"/>
        <w:tblCellMar>
          <w:top w:w="0" w:type="dxa"/>
          <w:left w:w="0" w:type="dxa"/>
          <w:bottom w:w="0" w:type="dxa"/>
          <w:right w:w="0" w:type="dxa"/>
        </w:tblCellMar>
      </w:tblPr>
      <w:tblGrid>
        <w:gridCol w:w="60"/>
        <w:gridCol w:w="170"/>
        <w:gridCol w:w="1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client retention;</w:t>
            </w:r>
          </w:p>
        </w:tc>
      </w:tr>
    </w:tbl>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margins; and</w:t>
            </w:r>
          </w:p>
        </w:tc>
      </w:tr>
    </w:tbl>
    <w:tbl>
      <w:tblPr>
        <w:tblW w:w="1930" w:type="dxa"/>
        <w:jc w:val="left"/>
        <w:tblInd w:w="0" w:type="dxa"/>
        <w:tblLayout w:type="fixed"/>
        <w:tblCellMar>
          <w:top w:w="0" w:type="dxa"/>
          <w:left w:w="0" w:type="dxa"/>
          <w:bottom w:w="0" w:type="dxa"/>
          <w:right w:w="0" w:type="dxa"/>
        </w:tblCellMar>
      </w:tblPr>
      <w:tblGrid>
        <w:gridCol w:w="60"/>
        <w:gridCol w:w="170"/>
        <w:gridCol w:w="1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ratios.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u w:val="single"/>
        </w:rPr>
      </w:pPr>
      <w:r>
        <w:rPr>
          <w:rFonts w:ascii="Times New Roman" w:hAnsi="Times New Roman"/>
          <w:caps w:val="false"/>
          <w:smallCaps w:val="false"/>
          <w:sz w:val="20"/>
          <w:u w:val="single"/>
        </w:rPr>
        <w:t>Regulatory Environment</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As a result of the acquisition, the Company became subject to additional regulatory requirements applicable to SEC-registered investment advisers beyond just Bimini Advisors management of Orchid. Compliance with these regulations has increased operating complexity and may increase future compliance, legal, and administrative costs. These regulations govern, among other matters:</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170"/>
        <w:gridCol w:w="2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fiduciary duties to clients;</w:t>
            </w:r>
          </w:p>
        </w:tc>
      </w:tr>
    </w:tbl>
    <w:tbl>
      <w:tblPr>
        <w:tblW w:w="2185" w:type="dxa"/>
        <w:jc w:val="left"/>
        <w:tblInd w:w="0" w:type="dxa"/>
        <w:tblLayout w:type="fixed"/>
        <w:tblCellMar>
          <w:top w:w="0" w:type="dxa"/>
          <w:left w:w="0" w:type="dxa"/>
          <w:bottom w:w="0" w:type="dxa"/>
          <w:right w:w="0" w:type="dxa"/>
        </w:tblCellMar>
      </w:tblPr>
      <w:tblGrid>
        <w:gridCol w:w="60"/>
        <w:gridCol w:w="170"/>
        <w:gridCol w:w="1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custody of client assets;</w:t>
            </w:r>
          </w:p>
        </w:tc>
      </w:tr>
    </w:tbl>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disclosure obligations;</w:t>
            </w:r>
          </w:p>
        </w:tc>
      </w:tr>
    </w:tbl>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advertising and marketing practices;</w:t>
            </w:r>
          </w:p>
        </w:tc>
      </w:tr>
    </w:tbl>
    <w:tbl>
      <w:tblPr>
        <w:tblW w:w="2020" w:type="dxa"/>
        <w:jc w:val="left"/>
        <w:tblInd w:w="0" w:type="dxa"/>
        <w:tblLayout w:type="fixed"/>
        <w:tblCellMar>
          <w:top w:w="0" w:type="dxa"/>
          <w:left w:w="0" w:type="dxa"/>
          <w:bottom w:w="0" w:type="dxa"/>
          <w:right w:w="0" w:type="dxa"/>
        </w:tblCellMar>
      </w:tblPr>
      <w:tblGrid>
        <w:gridCol w:w="60"/>
        <w:gridCol w:w="170"/>
        <w:gridCol w:w="1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procedures;</w:t>
            </w:r>
          </w:p>
        </w:tc>
      </w:tr>
    </w:tbl>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conflicts of interest;</w:t>
            </w:r>
          </w:p>
        </w:tc>
      </w:tr>
    </w:tbl>
    <w:tbl>
      <w:tblPr>
        <w:tblW w:w="1660" w:type="dxa"/>
        <w:jc w:val="left"/>
        <w:tblInd w:w="0" w:type="dxa"/>
        <w:tblLayout w:type="fixed"/>
        <w:tblCellMar>
          <w:top w:w="0" w:type="dxa"/>
          <w:left w:w="0" w:type="dxa"/>
          <w:bottom w:w="0" w:type="dxa"/>
          <w:right w:w="0" w:type="dxa"/>
        </w:tblCellMar>
      </w:tblPr>
      <w:tblGrid>
        <w:gridCol w:w="60"/>
        <w:gridCol w:w="170"/>
        <w:gridCol w:w="1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trading practices;</w:t>
            </w:r>
          </w:p>
        </w:tc>
      </w:tr>
    </w:tbl>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 and recordkeeping;</w:t>
            </w:r>
          </w:p>
        </w:tc>
      </w:tr>
    </w:tbl>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anti-money laundering compliance;</w:t>
            </w:r>
          </w:p>
        </w:tc>
      </w:tr>
    </w:tbl>
    <w:tbl>
      <w:tblPr>
        <w:tblW w:w="2890" w:type="dxa"/>
        <w:jc w:val="left"/>
        <w:tblInd w:w="0" w:type="dxa"/>
        <w:tblLayout w:type="fixed"/>
        <w:tblCellMar>
          <w:top w:w="0" w:type="dxa"/>
          <w:left w:w="0" w:type="dxa"/>
          <w:bottom w:w="0" w:type="dxa"/>
          <w:right w:w="0" w:type="dxa"/>
        </w:tblCellMar>
      </w:tblPr>
      <w:tblGrid>
        <w:gridCol w:w="60"/>
        <w:gridCol w:w="170"/>
        <w:gridCol w:w="2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privacy and data protection; and</w:t>
            </w:r>
          </w:p>
        </w:tc>
      </w:tr>
    </w:tbl>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policies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adopted compliance policies and supervisory procedures designed to address regulatory obligations and fiduciary standards applicable to registered investment advisers. Failure to comply with applicable laws and regulations could result in examinations, investigations, enforcement actions, censures, fines, reputational harm, restrictions on business activities, or the loss of advisory registrations.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Described below are the Company’s results of operations for the six and three months ended June 30, 2026, as compared to the six and three months ended June 30,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Consolidated net income attributable to Bimini stockholders for the six months ended June 30, 2026 was $1.2 million, or $0.12 basic and diluted income per share of Class A Common Stock, as compared to consolidated net income of $0.6 million, or $0.06 basic and diluted income per share of Class A Common Stock, for the six months ended June 30, 2025. The components of net income for the six and three months ended June 30, 2026 and 2025, along with the changes in those components are presented in the table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- 25 -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955" w:type="dxa"/>
        <w:jc w:val="left"/>
        <w:tblInd w:w="0" w:type="dxa"/>
        <w:tblLayout w:type="fixed"/>
        <w:tblCellMar>
          <w:top w:w="0" w:type="dxa"/>
          <w:left w:w="0" w:type="dxa"/>
          <w:bottom w:w="28" w:type="dxa"/>
          <w:right w:w="0" w:type="dxa"/>
        </w:tblCellMar>
      </w:tblPr>
      <w:tblGrid>
        <w:gridCol w:w="5165"/>
        <w:gridCol w:w="60"/>
        <w:gridCol w:w="112"/>
        <w:gridCol w:w="528"/>
        <w:gridCol w:w="82"/>
        <w:gridCol w:w="61"/>
        <w:gridCol w:w="112"/>
        <w:gridCol w:w="497"/>
        <w:gridCol w:w="82"/>
        <w:gridCol w:w="61"/>
        <w:gridCol w:w="114"/>
        <w:gridCol w:w="506"/>
        <w:gridCol w:w="80"/>
        <w:gridCol w:w="60"/>
        <w:gridCol w:w="125"/>
        <w:gridCol w:w="554"/>
        <w:gridCol w:w="91"/>
        <w:gridCol w:w="68"/>
        <w:gridCol w:w="125"/>
        <w:gridCol w:w="554"/>
        <w:gridCol w:w="91"/>
        <w:gridCol w:w="68"/>
        <w:gridCol w:w="125"/>
        <w:gridCol w:w="554"/>
        <w:gridCol w:w="80"/>
      </w:tblGrid>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528"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497"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50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5"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5"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revenues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11,933</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6,806</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2,995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5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1,791</w:t>
            </w:r>
          </w:p>
        </w:tc>
        <w:tc>
          <w:tcPr>
            <w:tcW w:w="82"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49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3,734</w:t>
            </w:r>
          </w:p>
        </w:tc>
        <w:tc>
          <w:tcPr>
            <w:tcW w:w="82"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5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16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(1,837</w:t>
            </w:r>
          </w:p>
        </w:tc>
        <w:tc>
          <w:tcPr>
            <w:tcW w:w="82"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(3,576</w:t>
            </w:r>
          </w:p>
        </w:tc>
        <w:tc>
          <w:tcPr>
            <w:tcW w:w="82"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w:t>
            </w:r>
          </w:p>
        </w:tc>
        <w:tc>
          <w:tcPr>
            <w:tcW w:w="91"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(1,732</w:t>
            </w:r>
          </w:p>
        </w:tc>
        <w:tc>
          <w:tcPr>
            <w:tcW w:w="91"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5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11,887</w:t>
            </w:r>
          </w:p>
        </w:tc>
        <w:tc>
          <w:tcPr>
            <w:tcW w:w="82"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49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7,551</w:t>
            </w:r>
          </w:p>
        </w:tc>
        <w:tc>
          <w:tcPr>
            <w:tcW w:w="82"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5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6,585</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3,866</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(expense)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5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4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(1,026</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5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(998</w:t>
            </w:r>
          </w:p>
        </w:tc>
        <w:tc>
          <w:tcPr>
            <w:tcW w:w="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(8,571</w:t>
            </w:r>
          </w:p>
        </w:tc>
        <w:tc>
          <w:tcPr>
            <w:tcW w:w="82"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(5,742</w:t>
            </w:r>
          </w:p>
        </w:tc>
        <w:tc>
          <w:tcPr>
            <w:tcW w:w="82"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(4,845</w:t>
            </w:r>
          </w:p>
        </w:tc>
        <w:tc>
          <w:tcPr>
            <w:tcW w:w="91"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(2,819</w:t>
            </w:r>
          </w:p>
        </w:tc>
        <w:tc>
          <w:tcPr>
            <w:tcW w:w="91"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before income tax provision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5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2,825</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4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783</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5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tax provision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1,526</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1,309</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5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1,299</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4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595</w:t>
            </w:r>
          </w:p>
        </w:tc>
        <w:tc>
          <w:tcPr>
            <w:tcW w:w="82"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5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455</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1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Less: income (loss) attributable to noncontrolling interests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8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97"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9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516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attributable to Bimini Capital Management, Inc. stockholders</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2"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w:t>
            </w:r>
          </w:p>
        </w:tc>
        <w:tc>
          <w:tcPr>
            <w:tcW w:w="82"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1"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2"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7"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82"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1"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4"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506"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w:t>
            </w:r>
          </w:p>
        </w:tc>
        <w:tc>
          <w:tcPr>
            <w:tcW w:w="91"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91"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55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80" w:type="dxa"/>
            <w:tcBorders>
              <w:bottom w:val="double" w:sz="6"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GAAP and Non-GAAP Reconciliation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Economic Interest Expense and Economic Net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use derivative instruments, primarily U.S. Treasury Note (“T-Note”) and SOFR futures contracts to hedge a portion of the interest rate risk on repurchase agreements in a rising rate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not designated our derivative financial instruments as hedge accounting relationships, but rather hold them for economic hedging purposes. Changes in fair value of these instruments are presented in a separate line item in our consolidated statements of operations and not included in interest expense. As such, for financial reporting purposes, interest expense and cost of funds are not impacted by the fluctuation in value of the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purpose of computing economic net interest income and ratios relating to cost of funds measures, GAAP interest expense, as reflected in our consolidated statements of operations, is adjusted to reflect the realized and unrealized gains or losses on certain derivative instruments the Company uses that pertain to each period presented. We believe that adjusting our GAAP interest expense for the periods presented by the gains or losses on these derivative instruments may not accurately reflect our economic interest expense for these periods. The reason is that these derivative instruments may cover periods that extend into the future, not just the current period. Any realized or unrealized gains or losses on the derivative instruments reflect the change in market value of the instrument caused by changes in underlying interest rates applicable to the term covered by the instrument, which changes are reflective of the future periods covered by the derivative instrument, not just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each period presented, we have combined the effects of the derivative financial instruments in place for the respective period with the actual interest expense incurred on repurchase agreements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economic interest expense and economic net interest income provide meaningful information to consider, in addition to the financial information prepared in accordance with GAAP. The non-GAAP measures help management to evaluate its financial position and performance without the effects of certain transactions and GAAP adjustments that are not necessarily indicative of our current investment portfolio or operations. The gains or losses on derivative instruments presented in our consolidated statements of operations are not necessarily representative of the total interest expense that we will ultimately realize. This is because as interest rates move up or down in the future, the gains or losses we ultimately realize, and which will affect our total interest expense in future periods, may differ from the unrealized gains or losses recognized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- 26 -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present a reconciliation of the adjustments discussed above to interest expense shown for each period relative to our derivative instruments, and the consolidated statements of operations line item, gains (losses) on derivative instruments, calculated in accordance with GAAP for each quarter in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Gains (Losses) on Derivative Instruments</w:t>
      </w:r>
    </w:p>
    <w:p>
      <w:pPr>
        <w:pStyle w:val="TextBody"/>
        <w:bidi w:val="0"/>
        <w:spacing w:before="0" w:after="0"/>
        <w:ind w:left="0" w:right="0" w:hanging="0"/>
        <w:jc w:val="center"/>
        <w:rPr>
          <w:caps w:val="false"/>
          <w:smallCaps w:val="false"/>
        </w:rPr>
      </w:pPr>
      <w:r>
        <w:rPr>
          <w:caps w:val="false"/>
          <w:smallCaps w:val="false"/>
        </w:rPr>
        <w:t> </w:t>
      </w:r>
    </w:p>
    <w:tbl>
      <w:tblPr>
        <w:tblW w:w="6130" w:type="dxa"/>
        <w:jc w:val="left"/>
        <w:tblInd w:w="0" w:type="dxa"/>
        <w:tblLayout w:type="fixed"/>
        <w:tblCellMar>
          <w:top w:w="0" w:type="dxa"/>
          <w:left w:w="0" w:type="dxa"/>
          <w:bottom w:w="28" w:type="dxa"/>
          <w:right w:w="0" w:type="dxa"/>
        </w:tblCellMar>
      </w:tblPr>
      <w:tblGrid>
        <w:gridCol w:w="1685"/>
        <w:gridCol w:w="60"/>
        <w:gridCol w:w="192"/>
        <w:gridCol w:w="848"/>
        <w:gridCol w:w="80"/>
        <w:gridCol w:w="60"/>
        <w:gridCol w:w="223"/>
        <w:gridCol w:w="532"/>
        <w:gridCol w:w="80"/>
        <w:gridCol w:w="60"/>
        <w:gridCol w:w="285"/>
        <w:gridCol w:w="754"/>
        <w:gridCol w:w="68"/>
        <w:gridCol w:w="68"/>
        <w:gridCol w:w="192"/>
        <w:gridCol w:w="848"/>
        <w:gridCol w:w="95"/>
      </w:tblGrid>
      <w:tr>
        <w:trPr/>
        <w:tc>
          <w:tcPr>
            <w:tcW w:w="16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vAlign w:val="center"/>
          </w:tcPr>
          <w:p>
            <w:pPr>
              <w:pStyle w:val="TableContents"/>
              <w:bidi w:val="0"/>
              <w:spacing w:before="0" w:after="283"/>
              <w:jc w:val="left"/>
              <w:rPr/>
            </w:pPr>
            <w:r>
              <w:rPr/>
              <w:t> </w:t>
            </w:r>
          </w:p>
        </w:tc>
        <w:tc>
          <w:tcPr>
            <w:tcW w:w="84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jc w:val="left"/>
              <w:rPr/>
            </w:pPr>
            <w:r>
              <w:rPr/>
              <w:t> </w:t>
            </w:r>
          </w:p>
        </w:tc>
        <w:tc>
          <w:tcPr>
            <w:tcW w:w="532"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vAlign w:val="center"/>
          </w:tcPr>
          <w:p>
            <w:pPr>
              <w:pStyle w:val="TableContents"/>
              <w:bidi w:val="0"/>
              <w:spacing w:before="0" w:after="283"/>
              <w:jc w:val="left"/>
              <w:rPr/>
            </w:pPr>
            <w:r>
              <w:rPr/>
              <w:t> </w:t>
            </w:r>
          </w:p>
        </w:tc>
        <w:tc>
          <w:tcPr>
            <w:tcW w:w="848"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848"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1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Funding Hedges</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Consolidated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Attributed to</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Attributed to</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Statement of</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Current</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Future</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Operations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TBA</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Period</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Periods</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Securities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(Non-GAAP)</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(Non-GAAP)</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5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5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8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(1,475</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jc w:val="left"/>
              <w:rPr/>
            </w:pPr>
            <w:r>
              <w:rPr/>
              <w:t> </w:t>
            </w:r>
          </w:p>
        </w:tc>
        <w:tc>
          <w:tcPr>
            <w:tcW w:w="848"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vAlign w:val="center"/>
          </w:tcPr>
          <w:p>
            <w:pPr>
              <w:pStyle w:val="TableContents"/>
              <w:bidi w:val="0"/>
              <w:spacing w:before="0" w:after="283"/>
              <w:jc w:val="left"/>
              <w:rPr/>
            </w:pPr>
            <w:r>
              <w:rPr/>
              <w:t> </w:t>
            </w:r>
          </w:p>
        </w:tc>
        <w:tc>
          <w:tcPr>
            <w:tcW w:w="532"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vAlign w:val="center"/>
          </w:tcPr>
          <w:p>
            <w:pPr>
              <w:pStyle w:val="TableContents"/>
              <w:bidi w:val="0"/>
              <w:spacing w:before="0" w:after="283"/>
              <w:jc w:val="left"/>
              <w:rPr/>
            </w:pPr>
            <w:r>
              <w:rPr/>
              <w:t> </w:t>
            </w:r>
          </w:p>
        </w:tc>
        <w:tc>
          <w:tcPr>
            <w:tcW w:w="754" w:type="dxa"/>
            <w:tcBorders>
              <w:bottom w:val="single" w:sz="2" w:space="0" w:color="000000"/>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jc w:val="left"/>
              <w:rPr/>
            </w:pPr>
            <w:r>
              <w:rPr/>
              <w:t> </w:t>
            </w:r>
          </w:p>
        </w:tc>
        <w:tc>
          <w:tcPr>
            <w:tcW w:w="848"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(2,018</w:t>
            </w:r>
          </w:p>
        </w:tc>
        <w:tc>
          <w:tcPr>
            <w:tcW w:w="9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Economic Net Portfolio Interest Income</w:t>
      </w:r>
    </w:p>
    <w:p>
      <w:pPr>
        <w:pStyle w:val="TextBody"/>
        <w:bidi w:val="0"/>
        <w:spacing w:before="0" w:after="0"/>
        <w:ind w:left="0" w:right="0" w:hanging="0"/>
        <w:jc w:val="center"/>
        <w:rPr/>
      </w:pPr>
      <w:r>
        <w:rPr/>
        <w:t> </w:t>
      </w:r>
    </w:p>
    <w:tbl>
      <w:tblPr>
        <w:tblW w:w="7585" w:type="dxa"/>
        <w:jc w:val="left"/>
        <w:tblInd w:w="0" w:type="dxa"/>
        <w:tblLayout w:type="fixed"/>
        <w:tblCellMar>
          <w:top w:w="0" w:type="dxa"/>
          <w:left w:w="0" w:type="dxa"/>
          <w:bottom w:w="28" w:type="dxa"/>
          <w:right w:w="0" w:type="dxa"/>
        </w:tblCellMar>
      </w:tblPr>
      <w:tblGrid>
        <w:gridCol w:w="1670"/>
        <w:gridCol w:w="60"/>
        <w:gridCol w:w="127"/>
        <w:gridCol w:w="493"/>
        <w:gridCol w:w="60"/>
        <w:gridCol w:w="60"/>
        <w:gridCol w:w="213"/>
        <w:gridCol w:w="823"/>
        <w:gridCol w:w="116"/>
        <w:gridCol w:w="116"/>
        <w:gridCol w:w="234"/>
        <w:gridCol w:w="686"/>
        <w:gridCol w:w="155"/>
        <w:gridCol w:w="116"/>
        <w:gridCol w:w="213"/>
        <w:gridCol w:w="823"/>
        <w:gridCol w:w="60"/>
        <w:gridCol w:w="60"/>
        <w:gridCol w:w="145"/>
        <w:gridCol w:w="385"/>
        <w:gridCol w:w="70"/>
        <w:gridCol w:w="70"/>
        <w:gridCol w:w="158"/>
        <w:gridCol w:w="612"/>
        <w:gridCol w:w="6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vAlign w:val="center"/>
          </w:tcPr>
          <w:p>
            <w:pPr>
              <w:pStyle w:val="TableContents"/>
              <w:bidi w:val="0"/>
              <w:spacing w:before="0" w:after="283"/>
              <w:jc w:val="left"/>
              <w:rPr/>
            </w:pPr>
            <w:r>
              <w:rPr/>
              <w:t> </w:t>
            </w:r>
          </w:p>
        </w:tc>
        <w:tc>
          <w:tcPr>
            <w:tcW w:w="823"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vAlign w:val="center"/>
          </w:tcPr>
          <w:p>
            <w:pPr>
              <w:pStyle w:val="TableContents"/>
              <w:bidi w:val="0"/>
              <w:spacing w:before="0" w:after="283"/>
              <w:jc w:val="left"/>
              <w:rPr/>
            </w:pPr>
            <w:r>
              <w:rPr/>
              <w:t> </w:t>
            </w:r>
          </w:p>
        </w:tc>
        <w:tc>
          <w:tcPr>
            <w:tcW w:w="686"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vAlign w:val="center"/>
          </w:tcPr>
          <w:p>
            <w:pPr>
              <w:pStyle w:val="TableContents"/>
              <w:bidi w:val="0"/>
              <w:spacing w:before="0" w:after="283"/>
              <w:jc w:val="left"/>
              <w:rPr/>
            </w:pPr>
            <w:r>
              <w:rPr/>
              <w:t> </w:t>
            </w:r>
          </w:p>
        </w:tc>
        <w:tc>
          <w:tcPr>
            <w:tcW w:w="82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jc w:val="left"/>
              <w:rPr/>
            </w:pPr>
            <w:r>
              <w:rPr/>
              <w:t> </w:t>
            </w:r>
          </w:p>
        </w:tc>
        <w:tc>
          <w:tcPr>
            <w:tcW w:w="385"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61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9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Expense on Repurchase 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Portfolio</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Effect of</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6"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Non-GAAP</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1036"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Hedges(1)</w:t>
            </w:r>
          </w:p>
        </w:tc>
        <w:tc>
          <w:tcPr>
            <w:tcW w:w="15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145</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ind w:left="0" w:right="0" w:hanging="0"/>
              <w:jc w:val="left"/>
              <w:rPr/>
            </w:pPr>
            <w:r>
              <w:rPr/>
              <w:t> </w:t>
            </w:r>
          </w:p>
        </w:tc>
        <w:tc>
          <w:tcPr>
            <w:tcW w:w="8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6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ind w:left="0" w:right="0" w:hanging="0"/>
              <w:jc w:val="left"/>
              <w:rPr/>
            </w:pPr>
            <w:r>
              <w:rPr/>
              <w:t> </w:t>
            </w:r>
          </w:p>
        </w:tc>
        <w:tc>
          <w:tcPr>
            <w:tcW w:w="8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3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ind w:left="0" w:right="0" w:hanging="0"/>
              <w:jc w:val="left"/>
              <w:rPr/>
            </w:pPr>
            <w:r>
              <w:rPr/>
              <w:t> </w:t>
            </w:r>
          </w:p>
        </w:tc>
        <w:tc>
          <w:tcPr>
            <w:tcW w:w="8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1,022</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pPr>
            <w:r>
              <w:rPr/>
              <w:t> </w:t>
            </w:r>
          </w:p>
        </w:tc>
        <w:tc>
          <w:tcPr>
            <w:tcW w:w="6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ind w:left="0" w:right="0" w:hanging="0"/>
              <w:jc w:val="left"/>
              <w:rPr/>
            </w:pPr>
            <w:r>
              <w:rPr/>
              <w:t> </w:t>
            </w:r>
          </w:p>
        </w:tc>
        <w:tc>
          <w:tcPr>
            <w:tcW w:w="8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3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6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1,157</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377</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4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1,191</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391</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1,307</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w:t>
            </w:r>
          </w:p>
        </w:tc>
        <w:tc>
          <w:tcPr>
            <w:tcW w:w="15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842</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3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573</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1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230"/>
        <w:gridCol w:w="9620"/>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962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Reflects the effect of derivative instrument hedges for only the period presented.</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w:t>
            </w:r>
          </w:p>
        </w:tc>
        <w:tc>
          <w:tcPr>
            <w:tcW w:w="962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Calculated by subtracting the effect of derivative instrument hedges attributed to the period presented from GAAP interest expense.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(3)</w:t>
            </w:r>
          </w:p>
        </w:tc>
        <w:tc>
          <w:tcPr>
            <w:tcW w:w="962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Calculated by adding the effect of derivative instrument hedges attributed to the period presented to GAAP net portfolio interest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- 27 -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Segment information for the six and three months ended June 30, 2026 and 2025 is as follows:</w:t>
      </w:r>
    </w:p>
    <w:p>
      <w:pPr>
        <w:pStyle w:val="TextBody"/>
        <w:bidi w:val="0"/>
        <w:spacing w:before="0" w:after="0"/>
        <w:ind w:left="0" w:right="0" w:hanging="0"/>
        <w:jc w:val="left"/>
        <w:rPr>
          <w:caps w:val="false"/>
          <w:smallCaps w:val="false"/>
        </w:rPr>
      </w:pPr>
      <w:r>
        <w:rPr>
          <w:caps w:val="false"/>
          <w:smallCaps w:val="false"/>
        </w:rPr>
        <w:t> </w:t>
      </w:r>
    </w:p>
    <w:tbl>
      <w:tblPr>
        <w:tblW w:w="8946" w:type="dxa"/>
        <w:jc w:val="left"/>
        <w:tblInd w:w="0" w:type="dxa"/>
        <w:tblLayout w:type="fixed"/>
        <w:tblCellMar>
          <w:top w:w="0" w:type="dxa"/>
          <w:left w:w="0" w:type="dxa"/>
          <w:bottom w:w="28" w:type="dxa"/>
          <w:right w:w="0" w:type="dxa"/>
        </w:tblCellMar>
      </w:tblPr>
      <w:tblGrid>
        <w:gridCol w:w="3380"/>
        <w:gridCol w:w="60"/>
        <w:gridCol w:w="124"/>
        <w:gridCol w:w="586"/>
        <w:gridCol w:w="87"/>
        <w:gridCol w:w="65"/>
        <w:gridCol w:w="125"/>
        <w:gridCol w:w="554"/>
        <w:gridCol w:w="80"/>
        <w:gridCol w:w="60"/>
        <w:gridCol w:w="164"/>
        <w:gridCol w:w="726"/>
        <w:gridCol w:w="80"/>
        <w:gridCol w:w="60"/>
        <w:gridCol w:w="150"/>
        <w:gridCol w:w="665"/>
        <w:gridCol w:w="80"/>
        <w:gridCol w:w="60"/>
        <w:gridCol w:w="295"/>
        <w:gridCol w:w="700"/>
        <w:gridCol w:w="80"/>
        <w:gridCol w:w="60"/>
        <w:gridCol w:w="110"/>
        <w:gridCol w:w="51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586"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72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jc w:val="left"/>
              <w:rPr/>
            </w:pPr>
            <w:r>
              <w:rPr/>
              <w:t> </w:t>
            </w:r>
          </w:p>
        </w:tc>
        <w:tc>
          <w:tcPr>
            <w:tcW w:w="70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4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Management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gridSpan w:val="2"/>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Bimini</w:t>
            </w:r>
          </w:p>
        </w:tc>
        <w:tc>
          <w:tcPr>
            <w:tcW w:w="87"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Advisors</w:t>
            </w:r>
          </w:p>
        </w:tc>
        <w:tc>
          <w:tcPr>
            <w:tcW w:w="87"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5"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Tota</w:t>
            </w:r>
            <w:r>
              <w:rPr>
                <w:rFonts w:ascii="Times New Roman;Times;serif" w:hAnsi="Times New Roman;Times;serif"/>
                <w:sz w:val="18"/>
              </w:rPr>
              <w:t>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10,205</w:t>
            </w:r>
          </w:p>
        </w:tc>
        <w:tc>
          <w:tcPr>
            <w:tcW w:w="87"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11,933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7"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10,281</w:t>
            </w:r>
          </w:p>
        </w:tc>
        <w:tc>
          <w:tcPr>
            <w:tcW w:w="87"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13,724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10,281</w:t>
            </w:r>
          </w:p>
        </w:tc>
        <w:tc>
          <w:tcPr>
            <w:tcW w:w="87"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5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5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(5,405</w:t>
            </w:r>
          </w:p>
        </w:tc>
        <w:tc>
          <w:tcPr>
            <w:tcW w:w="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7" w:type="dxa"/>
            <w:tcBorders>
              <w:bottom w:val="single" w:sz="2" w:space="0" w:color="000000"/>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4,774</w:t>
            </w:r>
          </w:p>
        </w:tc>
        <w:tc>
          <w:tcPr>
            <w:tcW w:w="87" w:type="dxa"/>
            <w:tcBorders>
              <w:bottom w:val="double" w:sz="6" w:space="0" w:color="000000"/>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241" w:type="dxa"/>
        <w:jc w:val="left"/>
        <w:tblInd w:w="0" w:type="dxa"/>
        <w:tblLayout w:type="fixed"/>
        <w:tblCellMar>
          <w:top w:w="0" w:type="dxa"/>
          <w:left w:w="0" w:type="dxa"/>
          <w:bottom w:w="28" w:type="dxa"/>
          <w:right w:w="0" w:type="dxa"/>
        </w:tblCellMar>
      </w:tblPr>
      <w:tblGrid>
        <w:gridCol w:w="3380"/>
        <w:gridCol w:w="60"/>
        <w:gridCol w:w="175"/>
        <w:gridCol w:w="780"/>
        <w:gridCol w:w="127"/>
        <w:gridCol w:w="95"/>
        <w:gridCol w:w="386"/>
        <w:gridCol w:w="293"/>
        <w:gridCol w:w="60"/>
        <w:gridCol w:w="60"/>
        <w:gridCol w:w="164"/>
        <w:gridCol w:w="726"/>
        <w:gridCol w:w="80"/>
        <w:gridCol w:w="60"/>
        <w:gridCol w:w="150"/>
        <w:gridCol w:w="665"/>
        <w:gridCol w:w="80"/>
        <w:gridCol w:w="60"/>
        <w:gridCol w:w="295"/>
        <w:gridCol w:w="700"/>
        <w:gridCol w:w="80"/>
        <w:gridCol w:w="60"/>
        <w:gridCol w:w="110"/>
        <w:gridCol w:w="51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1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5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95" w:type="dxa"/>
            <w:tcBorders/>
            <w:shd w:fill="FFFFFF" w:val="clear"/>
            <w:tcMar>
              <w:bottom w:w="0" w:type="dxa"/>
            </w:tcMar>
            <w:vAlign w:val="center"/>
          </w:tcPr>
          <w:p>
            <w:pPr>
              <w:pStyle w:val="TableContents"/>
              <w:bidi w:val="0"/>
              <w:spacing w:before="0" w:after="0"/>
              <w:ind w:left="0" w:right="0" w:hanging="0"/>
              <w:jc w:val="left"/>
              <w:rPr/>
            </w:pPr>
            <w:r>
              <w:rPr/>
              <w:t> </w:t>
            </w:r>
          </w:p>
        </w:tc>
        <w:tc>
          <w:tcPr>
            <w:tcW w:w="700"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51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Bimini</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Advisors</w:t>
            </w:r>
          </w:p>
        </w:tc>
        <w:tc>
          <w:tcPr>
            <w:tcW w:w="127"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5"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Tot</w:t>
            </w:r>
            <w:r>
              <w:rPr>
                <w:rFonts w:ascii="Times New Roman;Times;serif" w:hAnsi="Times New Roman;Times;serif"/>
                <w:sz w:val="18"/>
              </w:rPr>
              <w:t>a</w:t>
            </w:r>
            <w:r>
              <w:rPr>
                <w:rFonts w:ascii="Times New Roman;Times;serif" w:hAnsi="Times New Roman;Times;serif"/>
                <w:b/>
                <w:sz w:val="18"/>
              </w:rPr>
              <w:t>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7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7,474</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11,127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7,474</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w:t>
            </w:r>
          </w:p>
        </w:tc>
        <w:tc>
          <w:tcPr>
            <w:tcW w:w="1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7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(3,724</w:t>
            </w:r>
          </w:p>
        </w:tc>
        <w:tc>
          <w:tcPr>
            <w:tcW w:w="1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3,677</w:t>
            </w:r>
          </w:p>
        </w:tc>
        <w:tc>
          <w:tcPr>
            <w:tcW w:w="127"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(1,816</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(1,078</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28" w:type="dxa"/>
          <w:right w:w="0" w:type="dxa"/>
        </w:tblCellMar>
      </w:tblPr>
      <w:tblGrid>
        <w:gridCol w:w="3380"/>
        <w:gridCol w:w="60"/>
        <w:gridCol w:w="131"/>
        <w:gridCol w:w="579"/>
        <w:gridCol w:w="89"/>
        <w:gridCol w:w="67"/>
        <w:gridCol w:w="125"/>
        <w:gridCol w:w="554"/>
        <w:gridCol w:w="80"/>
        <w:gridCol w:w="60"/>
        <w:gridCol w:w="212"/>
        <w:gridCol w:w="678"/>
        <w:gridCol w:w="80"/>
        <w:gridCol w:w="60"/>
        <w:gridCol w:w="150"/>
        <w:gridCol w:w="665"/>
        <w:gridCol w:w="80"/>
        <w:gridCol w:w="60"/>
        <w:gridCol w:w="295"/>
        <w:gridCol w:w="700"/>
        <w:gridCol w:w="80"/>
        <w:gridCol w:w="60"/>
        <w:gridCol w:w="110"/>
        <w:gridCol w:w="48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579"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jc w:val="left"/>
              <w:rPr/>
            </w:pPr>
            <w:r>
              <w:rPr/>
              <w:t> </w:t>
            </w:r>
          </w:p>
        </w:tc>
        <w:tc>
          <w:tcPr>
            <w:tcW w:w="67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jc w:val="left"/>
              <w:rPr/>
            </w:pPr>
            <w:r>
              <w:rPr/>
              <w:t> </w:t>
            </w:r>
          </w:p>
        </w:tc>
        <w:tc>
          <w:tcPr>
            <w:tcW w:w="70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4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Management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95" w:type="dxa"/>
            <w:tcBorders/>
            <w:shd w:fill="FFFFFF" w:val="clear"/>
            <w:tcMar>
              <w:bottom w:w="0" w:type="dxa"/>
            </w:tcMar>
            <w:vAlign w:val="center"/>
          </w:tcPr>
          <w:p>
            <w:pPr>
              <w:pStyle w:val="TableContents"/>
              <w:bidi w:val="0"/>
              <w:spacing w:before="0" w:after="0"/>
              <w:ind w:left="0" w:right="0" w:hanging="0"/>
              <w:jc w:val="left"/>
              <w:rPr/>
            </w:pPr>
            <w:r>
              <w:rPr/>
              <w:t> </w:t>
            </w:r>
          </w:p>
        </w:tc>
        <w:tc>
          <w:tcPr>
            <w:tcW w:w="700"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Bimini</w:t>
            </w:r>
          </w:p>
        </w:tc>
        <w:tc>
          <w:tcPr>
            <w:tcW w:w="89"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Advisors</w:t>
            </w:r>
          </w:p>
        </w:tc>
        <w:tc>
          <w:tcPr>
            <w:tcW w:w="89"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5,078</w:t>
            </w:r>
          </w:p>
        </w:tc>
        <w:tc>
          <w:tcPr>
            <w:tcW w:w="89"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5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pPr>
            <w:r>
              <w:rPr/>
              <w:t> </w:t>
            </w:r>
          </w:p>
        </w:tc>
        <w:tc>
          <w:tcPr>
            <w:tcW w:w="6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5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5,098</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7,228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5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5,098</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pPr>
            <w:r>
              <w:rPr/>
              <w:t> </w:t>
            </w:r>
          </w:p>
        </w:tc>
        <w:tc>
          <w:tcPr>
            <w:tcW w:w="6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6,585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5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9"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pPr>
            <w:r>
              <w:rPr/>
              <w:t> </w:t>
            </w:r>
          </w:p>
        </w:tc>
        <w:tc>
          <w:tcPr>
            <w:tcW w:w="6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5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pPr>
            <w:r>
              <w:rPr/>
              <w:t> </w:t>
            </w:r>
          </w:p>
        </w:tc>
        <w:tc>
          <w:tcPr>
            <w:tcW w:w="6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5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(2,565</w:t>
            </w:r>
          </w:p>
        </w:tc>
        <w:tc>
          <w:tcPr>
            <w:tcW w:w="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9"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2,481</w:t>
            </w:r>
          </w:p>
        </w:tc>
        <w:tc>
          <w:tcPr>
            <w:tcW w:w="89" w:type="dxa"/>
            <w:tcBorders>
              <w:bottom w:val="double" w:sz="6" w:space="0" w:color="000000"/>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- 28 -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211" w:type="dxa"/>
        <w:jc w:val="left"/>
        <w:tblInd w:w="0" w:type="dxa"/>
        <w:tblLayout w:type="fixed"/>
        <w:tblCellMar>
          <w:top w:w="0" w:type="dxa"/>
          <w:left w:w="0" w:type="dxa"/>
          <w:bottom w:w="28" w:type="dxa"/>
          <w:right w:w="0" w:type="dxa"/>
        </w:tblCellMar>
      </w:tblPr>
      <w:tblGrid>
        <w:gridCol w:w="3380"/>
        <w:gridCol w:w="60"/>
        <w:gridCol w:w="175"/>
        <w:gridCol w:w="780"/>
        <w:gridCol w:w="127"/>
        <w:gridCol w:w="95"/>
        <w:gridCol w:w="386"/>
        <w:gridCol w:w="293"/>
        <w:gridCol w:w="60"/>
        <w:gridCol w:w="60"/>
        <w:gridCol w:w="164"/>
        <w:gridCol w:w="726"/>
        <w:gridCol w:w="80"/>
        <w:gridCol w:w="60"/>
        <w:gridCol w:w="150"/>
        <w:gridCol w:w="665"/>
        <w:gridCol w:w="80"/>
        <w:gridCol w:w="60"/>
        <w:gridCol w:w="295"/>
        <w:gridCol w:w="700"/>
        <w:gridCol w:w="80"/>
        <w:gridCol w:w="60"/>
        <w:gridCol w:w="110"/>
        <w:gridCol w:w="485"/>
        <w:gridCol w:w="80"/>
      </w:tblGrid>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1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0"/>
              <w:ind w:left="0" w:right="0" w:hanging="0"/>
              <w:jc w:val="righ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5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95" w:type="dxa"/>
            <w:tcBorders/>
            <w:shd w:fill="FFFFFF" w:val="clear"/>
            <w:tcMar>
              <w:bottom w:w="0" w:type="dxa"/>
            </w:tcMar>
            <w:vAlign w:val="center"/>
          </w:tcPr>
          <w:p>
            <w:pPr>
              <w:pStyle w:val="TableContents"/>
              <w:bidi w:val="0"/>
              <w:spacing w:before="0" w:after="0"/>
              <w:ind w:left="0" w:right="0" w:hanging="0"/>
              <w:jc w:val="left"/>
              <w:rPr/>
            </w:pPr>
            <w:r>
              <w:rPr/>
              <w:t> </w:t>
            </w:r>
          </w:p>
        </w:tc>
        <w:tc>
          <w:tcPr>
            <w:tcW w:w="700"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pPr>
            <w:r>
              <w:rPr/>
              <w:t> </w:t>
            </w:r>
          </w:p>
        </w:tc>
        <w:tc>
          <w:tcPr>
            <w:tcW w:w="80" w:type="dxa"/>
            <w:tcBorders>
              <w:right w:val="single" w:sz="2" w:space="0" w:color="000000"/>
            </w:tcBorders>
            <w:shd w:fill="FFFFFF" w:val="clear"/>
            <w:tcMar>
              <w:bottom w:w="0" w:type="dxa"/>
              <w:right w:w="28" w:type="dxa"/>
            </w:tcM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Bimini</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Advisors</w:t>
            </w:r>
          </w:p>
        </w:tc>
        <w:tc>
          <w:tcPr>
            <w:tcW w:w="127"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5"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sz w:val="18"/>
              </w:rPr>
            </w:pPr>
            <w:r>
              <w:rPr>
                <w:rFonts w:ascii="Times New Roman;Times;serif" w:hAnsi="Times New Roman;Times;serif"/>
                <w:b/>
                <w:sz w:val="18"/>
              </w:rPr>
              <w:t>TJIM(4)</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Eliminations</w:t>
            </w:r>
          </w:p>
        </w:tc>
        <w:tc>
          <w:tcPr>
            <w:tcW w:w="8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center"/>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external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 other operating segments(1)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7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3,851</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5,598</w:t>
            </w:r>
          </w:p>
        </w:tc>
        <w:tc>
          <w:tcPr>
            <w:tcW w:w="80" w:type="dxa"/>
            <w:tcBorders/>
            <w:shd w:fill="CCEEFF" w:val="clear"/>
            <w:tcMar>
              <w:bottom w:w="0" w:type="dxa"/>
            </w:tcMar>
            <w:vAlign w:val="center"/>
          </w:tcPr>
          <w:p>
            <w:pPr>
              <w:pStyle w:val="TableContents"/>
              <w:bidi w:val="0"/>
              <w:spacing w:before="0" w:after="0"/>
              <w:jc w:val="left"/>
              <w:rPr/>
            </w:pPr>
            <w:r>
              <w:rPr/>
              <w:t> </w:t>
            </w:r>
          </w:p>
        </w:tc>
      </w:tr>
      <w:tr>
        <w:trPr/>
        <w:tc>
          <w:tcPr>
            <w:tcW w:w="338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3,851</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left"/>
              <w:rPr/>
            </w:pPr>
            <w:r>
              <w:rPr/>
              <w:t> </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8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expenses(3)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7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(1,881</w:t>
            </w:r>
          </w:p>
        </w:tc>
        <w:tc>
          <w:tcPr>
            <w:tcW w:w="1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338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Intercompany expenses(1)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1,939</w:t>
            </w:r>
          </w:p>
        </w:tc>
        <w:tc>
          <w:tcPr>
            <w:tcW w:w="127"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9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fees paid by Royal Palm to Bimini Advisors for advisory services at an annualized rate of 1.5% of capital allocated to Royal Palm's MBS portfolio.</w:t>
            </w:r>
          </w:p>
        </w:tc>
      </w:tr>
      <w:tr>
        <w:trPr/>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interest expense on repurchase agreements in the Investment Portfolio column and long-term debt in the Corporate column.</w:t>
            </w:r>
          </w:p>
        </w:tc>
      </w:tr>
      <w:tr>
        <w:trPr/>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(3)</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Operating expenses are allocated based on each segment’s proportional share of total revenues.</w:t>
            </w:r>
          </w:p>
        </w:tc>
      </w:tr>
      <w:tr>
        <w:trPr/>
        <w:tc>
          <w:tcPr>
            <w:tcW w:w="223" w:type="dxa"/>
            <w:tcBorders/>
            <w:vAlign w:val="center"/>
          </w:tcPr>
          <w:p>
            <w:pPr>
              <w:pStyle w:val="TableContents"/>
              <w:bidi w:val="0"/>
              <w:spacing w:before="0" w:after="283"/>
              <w:jc w:val="left"/>
              <w:rPr>
                <w:sz w:val="18"/>
              </w:rPr>
            </w:pPr>
            <w:r>
              <w:rPr>
                <w:sz w:val="18"/>
              </w:rPr>
              <w:t>(4)</w:t>
            </w:r>
          </w:p>
        </w:tc>
        <w:tc>
          <w:tcPr>
            <w:tcW w:w="9982" w:type="dxa"/>
            <w:tcBorders/>
            <w:vAlign w:val="center"/>
          </w:tcPr>
          <w:p>
            <w:pPr>
              <w:pStyle w:val="TableContents"/>
              <w:bidi w:val="0"/>
              <w:spacing w:before="0" w:after="283"/>
              <w:jc w:val="left"/>
              <w:rPr>
                <w:sz w:val="18"/>
              </w:rPr>
            </w:pPr>
            <w:r>
              <w:rPr>
                <w:sz w:val="18"/>
              </w:rPr>
              <w:t>The activity and results of operations of TJIM prior to April 1, 2026, the closing date of the TJIM Acquisition, are not included.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Assets in each reportable segment were as follows: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1415"/>
        <w:gridCol w:w="60"/>
        <w:gridCol w:w="145"/>
        <w:gridCol w:w="565"/>
        <w:gridCol w:w="69"/>
        <w:gridCol w:w="69"/>
        <w:gridCol w:w="128"/>
        <w:gridCol w:w="599"/>
        <w:gridCol w:w="60"/>
        <w:gridCol w:w="60"/>
        <w:gridCol w:w="136"/>
        <w:gridCol w:w="754"/>
        <w:gridCol w:w="60"/>
        <w:gridCol w:w="60"/>
        <w:gridCol w:w="100"/>
        <w:gridCol w:w="715"/>
        <w:gridCol w:w="60"/>
        <w:gridCol w:w="60"/>
        <w:gridCol w:w="110"/>
        <w:gridCol w:w="605"/>
        <w:gridCol w:w="60"/>
      </w:tblGrid>
      <w:tr>
        <w:trPr/>
        <w:tc>
          <w:tcPr>
            <w:tcW w:w="14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jc w:val="left"/>
              <w:rPr/>
            </w:pPr>
            <w:r>
              <w:rPr/>
              <w:t> </w:t>
            </w:r>
          </w:p>
        </w:tc>
        <w:tc>
          <w:tcPr>
            <w:tcW w:w="565"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59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7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gridSpan w:val="2"/>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7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Bimini</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7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Advisors</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TJIM</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Corporate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2,668</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ind w:left="0" w:right="0" w:hanging="0"/>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64,366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2,617</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120,751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129,694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Asset Management Segment - Bimini Advisors/Orchid Island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Advisory Services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Advisory services revenue consists of management fees and overhead reimbursements charged to Orchid for the management of its portfolio pursuant to the terms of a management agreement. We receive a monthly management fee in the amount of:</w:t>
      </w:r>
    </w:p>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1.50% of the first $250 million of Orchid’s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1.25% of Orchid’s month-end equity that is greater than $250 million and less than or equal to $500 million, and</w:t>
            </w:r>
          </w:p>
        </w:tc>
      </w:tr>
    </w:tbl>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1.00% of Orchid’s month-end equity that is greater than $500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also provides certain repurchase agreement trading, clearing and administrative services to Orchid. In consideration for such services, Orchid pays the following fees to the Company: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tc>
      </w:tr>
    </w:tbl>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fee for the clearing and operational services provided by personnel of the Manager equal to $10,000 per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Orchid is obligated to reimburse us for any direct expenses incurred on its behalf and to pay to us an amount equal to Orchid's pro rata portion of certain overhead costs set forth in the management agreement. The management agreement has been renewed through February 2027 and provides for automatic one-year extension options. Should Orchid terminate the management agreement without cause, it will be obligated to pay to us a termination fee equal to three times the average annual management fee, as defined in the management agreement, before or on the last day of the applicable renewal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- 29 -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advisory services revenue received from Orchid in each quarter and during 2026 and 2025.</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740"/>
        <w:gridCol w:w="60"/>
        <w:gridCol w:w="60"/>
        <w:gridCol w:w="110"/>
        <w:gridCol w:w="830"/>
        <w:gridCol w:w="60"/>
        <w:gridCol w:w="60"/>
        <w:gridCol w:w="210"/>
        <w:gridCol w:w="815"/>
        <w:gridCol w:w="60"/>
        <w:gridCol w:w="60"/>
        <w:gridCol w:w="164"/>
        <w:gridCol w:w="636"/>
        <w:gridCol w:w="60"/>
        <w:gridCol w:w="60"/>
        <w:gridCol w:w="322"/>
        <w:gridCol w:w="853"/>
        <w:gridCol w:w="60"/>
        <w:gridCol w:w="60"/>
        <w:gridCol w:w="110"/>
        <w:gridCol w:w="515"/>
        <w:gridCol w:w="6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vAlign w:val="center"/>
          </w:tcPr>
          <w:p>
            <w:pPr>
              <w:pStyle w:val="TableContents"/>
              <w:bidi w:val="0"/>
              <w:spacing w:before="0" w:after="283"/>
              <w:jc w:val="left"/>
              <w:rPr/>
            </w:pPr>
            <w:r>
              <w:rPr/>
              <w:t> </w:t>
            </w:r>
          </w:p>
        </w:tc>
        <w:tc>
          <w:tcPr>
            <w:tcW w:w="85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85"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Advisory Services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Clearing 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Fee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Allocation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Fees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11,439,353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1,442,960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10,975,819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5,078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10,983,600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1,365,471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10,490,095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pPr>
            <w:r>
              <w:rPr/>
              <w:t> </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9,492,369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1,233,957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9,061,222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ind w:left="0" w:right="0" w:hanging="0"/>
              <w:jc w:val="left"/>
              <w:rPr/>
            </w:pPr>
            <w:r>
              <w:rPr/>
              <w:t> </w:t>
            </w:r>
          </w:p>
        </w:tc>
        <w:tc>
          <w:tcPr>
            <w:tcW w:w="8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7,674,720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7,331,428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pPr>
            <w:r>
              <w:rPr/>
              <w:t> </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6,865,727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1,012,986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6,537,260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ind w:left="0" w:right="0" w:hanging="0"/>
              <w:jc w:val="left"/>
              <w:rPr/>
            </w:pPr>
            <w:r>
              <w:rPr/>
              <w:t> </w:t>
            </w:r>
          </w:p>
        </w:tc>
        <w:tc>
          <w:tcPr>
            <w:tcW w:w="8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5,995,702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902,590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5,722,092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2,747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3,582</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5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11,211,477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1,404,216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10,732,957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10,205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6,430,715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957,788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6,129,676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8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7,393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340" w:right="0" w:hanging="360"/>
        <w:jc w:val="left"/>
        <w:rPr>
          <w:rFonts w:ascii="Times New Roman" w:hAnsi="Times New Roman"/>
          <w:caps w:val="false"/>
          <w:smallCaps w:val="false"/>
          <w:sz w:val="20"/>
        </w:rPr>
      </w:pPr>
      <w:r>
        <w:rPr>
          <w:rFonts w:ascii="Times New Roman" w:hAnsi="Times New Roman"/>
          <w:b/>
          <w:i/>
          <w:caps w:val="false"/>
          <w:smallCaps w:val="false"/>
          <w:sz w:val="20"/>
        </w:rPr>
        <w:t xml:space="preserve">Asset Management Segment </w:t>
      </w:r>
      <w:r>
        <w:rPr>
          <w:rFonts w:ascii="Times New Roman" w:hAnsi="Times New Roman"/>
          <w:caps w:val="false"/>
          <w:smallCaps w:val="false"/>
          <w:sz w:val="20"/>
        </w:rPr>
        <w:t xml:space="preserve">– </w:t>
      </w:r>
      <w:r>
        <w:rPr>
          <w:rFonts w:ascii="Times New Roman" w:hAnsi="Times New Roman"/>
          <w:b/>
          <w:i/>
          <w:caps w:val="false"/>
          <w:smallCaps w:val="false"/>
          <w:sz w:val="20"/>
        </w:rPr>
        <w:t>TJIM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TJIM is an SEC-registered investment adviser managing over $1.7 billion in regulatory assets under management across equity, fixed income, and balanced strategies. Operating as a fiduciary, TJIM provides discretionary portfolio management centered on fundamental research, high-quality security selection, and continuous risk oversight.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TJIM delivers investment strategies through two primary operational channels. For direct advisory clients - including individuals, high-net-worth families, retirement plans, foundations, and institutions - TJIM constructs customized Separately Managed Accounts ("SMAs") paired with dedicated personal service. TJIM also serves as a trusted third-party asset manager on many of the industry’s prominent nationally distributed platforms, enabling financial advisors at broker-dealers, banks, insurance companies, and independent RIAs to complement their existing practices with TJIM’s time-tested strategies.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TJIM is compensated primarily through asset-based management fees calculated as a percentage of assets under management. Backed by over four decades of investment experience, the firm’s disciplined approach supported positive growth in both regulatory assets under management and advisory revenues through the six-month period ending June 30, 2026.</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Management fees are generally calculated as a percentage of AUM and are affected by market conditions, investor inflows and outflows, investment performance, and client retention. Assets under management are influenced by market appreciation or depreciation, investor flows, investment performance, and changes in client allocations. Because advisory revenues are generally based on the value of client assets, declines in financial markets or sustained client withdrawals may adversely affect the Company’s revenues, operating margins, cash flows, and results of operations.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TJIM competes with a broad range of financial institutions and investment managers, including registered investment advisers, alternative asset managers, wealth management firms, banks, broker-dealers, insurance companies, and other financial services providers. Competition is based on investment performance, reputation, service quality, distribution capabilities, personnel, product offerings, fees, and client relationships. TJIM’s business is dependent on the experience, judgment, and continued service of key investment professionals, portfolio managers, executives, and relationship personnel. The loss of key personnel or an inability to attract and retain qualified professionals could adversely affect investment performance, client retention, and future growth.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presents selected unaudited historical operating information of TJIM, including advisory AUM and advisory services revenue, for the periods indicated, including periods prior to April 1, 2026, the closing date of the TJIM Acquisition. This information is presented solely to provide investors with additional context regarding the historical operations of the acquired business. The information is not intended to represent, and should not be considered indicative of, the results of operations or financial position that would have been achieved had the acquisition occurred on an earlier date, nor is it necessarily indicative of the future results of the combined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- 30 -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28" w:type="dxa"/>
          <w:right w:w="0" w:type="dxa"/>
        </w:tblCellMar>
      </w:tblPr>
      <w:tblGrid>
        <w:gridCol w:w="1670"/>
        <w:gridCol w:w="60"/>
        <w:gridCol w:w="117"/>
        <w:gridCol w:w="653"/>
        <w:gridCol w:w="60"/>
        <w:gridCol w:w="60"/>
        <w:gridCol w:w="148"/>
        <w:gridCol w:w="817"/>
        <w:gridCol w:w="60"/>
        <w:gridCol w:w="60"/>
        <w:gridCol w:w="118"/>
        <w:gridCol w:w="652"/>
        <w:gridCol w:w="60"/>
        <w:gridCol w:w="60"/>
        <w:gridCol w:w="110"/>
        <w:gridCol w:w="740"/>
        <w:gridCol w:w="60"/>
        <w:gridCol w:w="60"/>
        <w:gridCol w:w="158"/>
        <w:gridCol w:w="612"/>
        <w:gridCol w:w="60"/>
        <w:gridCol w:w="60"/>
        <w:gridCol w:w="265"/>
        <w:gridCol w:w="700"/>
        <w:gridCol w:w="60"/>
        <w:gridCol w:w="60"/>
        <w:gridCol w:w="158"/>
        <w:gridCol w:w="612"/>
        <w:gridCol w:w="60"/>
        <w:gridCol w:w="60"/>
        <w:gridCol w:w="110"/>
        <w:gridCol w:w="425"/>
        <w:gridCol w:w="6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vAlign w:val="center"/>
          </w:tcPr>
          <w:p>
            <w:pPr>
              <w:pStyle w:val="TableContents"/>
              <w:bidi w:val="0"/>
              <w:spacing w:before="0" w:after="283"/>
              <w:jc w:val="left"/>
              <w:rPr/>
            </w:pPr>
            <w:r>
              <w:rPr/>
              <w:t> </w:t>
            </w:r>
          </w:p>
        </w:tc>
        <w:tc>
          <w:tcPr>
            <w:tcW w:w="65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81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61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vAlign w:val="center"/>
          </w:tcPr>
          <w:p>
            <w:pPr>
              <w:pStyle w:val="TableContents"/>
              <w:bidi w:val="0"/>
              <w:spacing w:before="0" w:after="283"/>
              <w:jc w:val="left"/>
              <w:rPr/>
            </w:pPr>
            <w:r>
              <w:rPr/>
              <w:t> </w:t>
            </w:r>
          </w:p>
        </w:tc>
        <w:tc>
          <w:tcPr>
            <w:tcW w:w="7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61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4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15"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 Assets Under Management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400"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Fee Revenue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Sub-advisor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Model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Sub-advisor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Model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665,996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870,965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1,730,797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578,611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6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876,008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564,931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191,473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893,286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1,649,690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552,213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189,464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914,322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1,655,999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1,556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517,635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181,779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902,819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1,602,233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7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535,911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184,703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911,464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1,632,078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7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7" w:type="dxa"/>
            <w:tcBorders>
              <w:bottom w:val="single" w:sz="2" w:space="0" w:color="000000"/>
            </w:tcBorders>
            <w:shd w:fill="CCEEFF" w:val="clear"/>
            <w:vAlign w:val="center"/>
          </w:tcPr>
          <w:p>
            <w:pPr>
              <w:pStyle w:val="TableContents"/>
              <w:bidi w:val="0"/>
              <w:spacing w:before="0" w:after="283"/>
              <w:jc w:val="left"/>
              <w:rPr/>
            </w:pPr>
            <w:r>
              <w:rPr/>
              <w:t> </w:t>
            </w:r>
          </w:p>
        </w:tc>
        <w:tc>
          <w:tcPr>
            <w:tcW w:w="653"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jc w:val="left"/>
              <w:rPr/>
            </w:pPr>
            <w:r>
              <w:rPr/>
              <w:t> </w:t>
            </w:r>
          </w:p>
        </w:tc>
        <w:tc>
          <w:tcPr>
            <w:tcW w:w="817"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8" w:type="dxa"/>
            <w:tcBorders>
              <w:bottom w:val="single" w:sz="2" w:space="0" w:color="000000"/>
            </w:tcBorders>
            <w:shd w:fill="CCEEFF" w:val="clear"/>
            <w:vAlign w:val="center"/>
          </w:tcPr>
          <w:p>
            <w:pPr>
              <w:pStyle w:val="TableContents"/>
              <w:bidi w:val="0"/>
              <w:spacing w:before="0" w:after="283"/>
              <w:jc w:val="left"/>
              <w:rPr/>
            </w:pPr>
            <w:r>
              <w:rPr/>
              <w:t> </w:t>
            </w:r>
          </w:p>
        </w:tc>
        <w:tc>
          <w:tcPr>
            <w:tcW w:w="652"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74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jc w:val="left"/>
              <w:rPr/>
            </w:pPr>
            <w:r>
              <w:rPr/>
              <w:t> </w:t>
            </w:r>
          </w:p>
        </w:tc>
        <w:tc>
          <w:tcPr>
            <w:tcW w:w="612"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vAlign w:val="center"/>
          </w:tcPr>
          <w:p>
            <w:pPr>
              <w:pStyle w:val="TableContents"/>
              <w:bidi w:val="0"/>
              <w:spacing w:before="0" w:after="283"/>
              <w:jc w:val="left"/>
              <w:rPr/>
            </w:pPr>
            <w:r>
              <w:rPr/>
              <w:t> </w:t>
            </w:r>
          </w:p>
        </w:tc>
        <w:tc>
          <w:tcPr>
            <w:tcW w:w="7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jc w:val="left"/>
              <w:rPr/>
            </w:pPr>
            <w:r>
              <w:rPr/>
              <w:t> </w:t>
            </w:r>
          </w:p>
        </w:tc>
        <w:tc>
          <w:tcPr>
            <w:tcW w:w="612"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42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665,996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870,965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1,730,797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517,635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181,779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902,819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1,602,233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3,015</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Portfolio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Portfolio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anticipation of the closing of the TJIM Acquisition, we sold a significant portion of the MBS portfolio in the first quarter of 2026. Our outstanding balances under repurchase agreement borrowings declined proportionately as well. As a result, many figures discussed below appear distorted when simple average balances are calculated, such as average MBS held and average outstanding balances under repurchase agreement borrowings. Further, since the sales occurred late in the quarter, interest income and interest expense amounts reflect balances of both assets and borrowing in place for the majority of the quarter.  The combination of these two factors led to certain metrics such as our yield on average MBS and cost of funds measures to appear higher than they would have been had these large sales not occurred, or occurred earlier in the quarter.  These factors should be kept in mind when reading the discussion of our investment portfolio segment results for the quarter.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we generated $0.6 million of net portfolio interest income, consisting of $1.4 million of interest income from MBS assets offset by $0.8 million of interest expense on repurchase liabilities. For the comparable period ended June 30, 2025, we generated $0.8 million of net portfolio interest income, consisting of $3.3 million of interest income from MBS assets offset by $2.5 million of interest expense on repurchase liabilities. The $1.9 million decrease in interest income was due to a $83.7 million decrease in average MBS holdings, offset by a 263 basis point ("bp") increase in yields. There was a $1.7 million decrease in interest expense for the six months ended June 30, 2026 that was due to a $79.8 million decrease in average repurchase liabilities, offset by a 71 bp increase in cost of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three months ended June 30, 2026, we generated $0.1 million of net portfolio interest income, consisting of $0.3 million of interest income from MBS assets offset by $0.2 million of interest expense on repurchase liabilities. For the comparable period ended June 30, 2025, we generated $0.4 million of net portfolio interest income, consisting of $1.6 million of interest income from MBS assets offset by $1.2 million of interest expense on repurchase liabilities. The $1.3 million decrease in interest income was due to a $98.3 million decrease in average MBS holdings, offset by a 73 bp increase in yields. There was a $1.1 million decrease in interest expense for the three months ended June 30, 2026 that was due to a $93.5 million decrease in average repurchase liabilities, offset by a 56 bp decrease in cost of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economic interest expense on repurchase liabilities for the six months ended June 30, 2026 and 2025 was $0.7 million and $2.3 million, respectively, resulting in $0.7 million and $1.0 million of economic net portfolio interest income, respectively. Our economic interest expense on repurchase liabilities for the three months ended June 30, 2026 and 2025 was $0.1 million and $1.1 million, respectively, resulting in $0.2 million and $0.5 million of economic net portfolio interest income,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provide information on our portfolio average balances, interest income, yield on assets, average repurchase agreement balances, interest expense, cost of funds, net interest income and net interest rate spread for the six months ended June 30, 2026 and 2025 and each quarter in 2026 and 2025 on both a GAAP and economic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- 31 -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108" w:type="dxa"/>
        <w:jc w:val="left"/>
        <w:tblInd w:w="0" w:type="dxa"/>
        <w:tblLayout w:type="fixed"/>
        <w:tblCellMar>
          <w:top w:w="0" w:type="dxa"/>
          <w:left w:w="0" w:type="dxa"/>
          <w:bottom w:w="28" w:type="dxa"/>
          <w:right w:w="0" w:type="dxa"/>
        </w:tblCellMar>
      </w:tblPr>
      <w:tblGrid>
        <w:gridCol w:w="1670"/>
        <w:gridCol w:w="60"/>
        <w:gridCol w:w="110"/>
        <w:gridCol w:w="605"/>
        <w:gridCol w:w="60"/>
        <w:gridCol w:w="60"/>
        <w:gridCol w:w="127"/>
        <w:gridCol w:w="493"/>
        <w:gridCol w:w="60"/>
        <w:gridCol w:w="60"/>
        <w:gridCol w:w="100"/>
        <w:gridCol w:w="564"/>
        <w:gridCol w:w="170"/>
        <w:gridCol w:w="60"/>
        <w:gridCol w:w="174"/>
        <w:gridCol w:w="970"/>
        <w:gridCol w:w="60"/>
        <w:gridCol w:w="60"/>
        <w:gridCol w:w="121"/>
        <w:gridCol w:w="467"/>
        <w:gridCol w:w="66"/>
        <w:gridCol w:w="66"/>
        <w:gridCol w:w="158"/>
        <w:gridCol w:w="612"/>
        <w:gridCol w:w="60"/>
        <w:gridCol w:w="60"/>
        <w:gridCol w:w="105"/>
        <w:gridCol w:w="587"/>
        <w:gridCol w:w="298"/>
        <w:gridCol w:w="105"/>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9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467"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61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Yield on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Cost of Funds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MBS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8"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Held(1)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MBS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Basis(3)</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145</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3.83</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ind w:left="0" w:right="0" w:hanging="0"/>
              <w:jc w:val="left"/>
              <w:rPr/>
            </w:pPr>
            <w:r>
              <w:rPr/>
              <w:t> </w:t>
            </w:r>
          </w:p>
        </w:tc>
        <w:tc>
          <w:tcPr>
            <w:tcW w:w="4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58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6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4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1,022</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6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5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6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5.79</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100,848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1,157</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4.59</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4.16</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114,294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4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108,626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4.39</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121,657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5.73</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116,346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1,307</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w:t>
            </w:r>
          </w:p>
        </w:tc>
        <w:tc>
          <w:tcPr>
            <w:tcW w:w="29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8.26</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32,682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842</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4.19</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117,976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112,486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w:t>
            </w:r>
          </w:p>
        </w:tc>
        <w:tc>
          <w:tcPr>
            <w:tcW w:w="298"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170"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tbl>
      <w:tblPr>
        <w:tblW w:w="5034" w:type="dxa"/>
        <w:jc w:val="left"/>
        <w:tblInd w:w="0" w:type="dxa"/>
        <w:tblLayout w:type="fixed"/>
        <w:tblCellMar>
          <w:top w:w="0" w:type="dxa"/>
          <w:left w:w="0" w:type="dxa"/>
          <w:bottom w:w="28" w:type="dxa"/>
          <w:right w:w="0" w:type="dxa"/>
        </w:tblCellMar>
      </w:tblPr>
      <w:tblGrid>
        <w:gridCol w:w="1670"/>
        <w:gridCol w:w="60"/>
        <w:gridCol w:w="145"/>
        <w:gridCol w:w="385"/>
        <w:gridCol w:w="70"/>
        <w:gridCol w:w="70"/>
        <w:gridCol w:w="158"/>
        <w:gridCol w:w="612"/>
        <w:gridCol w:w="60"/>
        <w:gridCol w:w="60"/>
        <w:gridCol w:w="80"/>
        <w:gridCol w:w="450"/>
        <w:gridCol w:w="203"/>
        <w:gridCol w:w="71"/>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jc w:val="left"/>
              <w:rPr/>
            </w:pPr>
            <w:r>
              <w:rPr/>
              <w:t> </w:t>
            </w:r>
          </w:p>
        </w:tc>
        <w:tc>
          <w:tcPr>
            <w:tcW w:w="385"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61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450" w:type="dxa"/>
            <w:tcBorders>
              <w:bottom w:val="single" w:sz="2" w:space="0" w:color="000000"/>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Portfolio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74"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Portfolio</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7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Spread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203"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w:t>
            </w:r>
          </w:p>
        </w:tc>
        <w:tc>
          <w:tcPr>
            <w:tcW w:w="203"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Basis(4)</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2.44</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4.59</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3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6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4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6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3.93</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3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6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4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6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2.06</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377</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1.20</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1.63</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391</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w:t>
            </w:r>
          </w:p>
        </w:tc>
        <w:tc>
          <w:tcPr>
            <w:tcW w:w="20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3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573</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3.11</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4.07</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20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170"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yields and costs of borrowings presented in the tables above are calculated based on the average balances of the underlying investment portfolio/repurchase agreement balances and are annualized for the periods presented. Average balances for quarterly periods are calculated using two data points, the beginning and ending balances.</w:t>
            </w:r>
          </w:p>
        </w:tc>
      </w:tr>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100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Economic interest expense and economic net interest income presented in the tables above include the effect of derivative instrument hedges for only the period presented.</w:t>
            </w:r>
          </w:p>
        </w:tc>
      </w:tr>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100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Represents interest cost of our borrowings and the effect of derivative instrument hedges attributed to the period related to hedging activities divided by average MBS.</w:t>
            </w:r>
          </w:p>
        </w:tc>
      </w:tr>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(4)</w:t>
            </w:r>
          </w:p>
        </w:tc>
        <w:tc>
          <w:tcPr>
            <w:tcW w:w="100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Economic net interest spread is calculated by subtracting average economic cost of funds from yield on average MBS.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Since all of our repurchase agreements are short-term, changes in market rates have a more immediate impact on our interest expense. Our average cost of funds calculated on a GAAP basis was 20 bps above the average one-month SOFR and 16 bps above the average six-month SOFR for the quarter ended June 30, 2026. Our average economic cost of funds was 195 bps below the average one-month SOFR and 199 bps below the average six-month SOFR for the quarter ended June 30, 2026. The average term to maturity of the outstanding repurchase agreements was 22 days at June 30, 2026, compared to 31 days at December 31, 2025. The tables below present the average outstanding balances under our repurchase agreements, interest expense and average economic cost of funds, and average one-month and six-month SOFR rates for each quarter in 2026 and 2025, on both a GAAP and economic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- 32 -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497" w:type="dxa"/>
        <w:jc w:val="left"/>
        <w:tblInd w:w="0" w:type="dxa"/>
        <w:tblLayout w:type="fixed"/>
        <w:tblCellMar>
          <w:top w:w="0" w:type="dxa"/>
          <w:left w:w="0" w:type="dxa"/>
          <w:bottom w:w="0" w:type="dxa"/>
          <w:right w:w="0" w:type="dxa"/>
        </w:tblCellMar>
      </w:tblPr>
      <w:tblGrid>
        <w:gridCol w:w="1670"/>
        <w:gridCol w:w="60"/>
        <w:gridCol w:w="139"/>
        <w:gridCol w:w="781"/>
        <w:gridCol w:w="195"/>
        <w:gridCol w:w="69"/>
        <w:gridCol w:w="128"/>
        <w:gridCol w:w="717"/>
        <w:gridCol w:w="170"/>
        <w:gridCol w:w="60"/>
        <w:gridCol w:w="139"/>
        <w:gridCol w:w="781"/>
        <w:gridCol w:w="369"/>
        <w:gridCol w:w="130"/>
        <w:gridCol w:w="130"/>
        <w:gridCol w:w="857"/>
        <w:gridCol w:w="230"/>
        <w:gridCol w:w="60"/>
        <w:gridCol w:w="129"/>
        <w:gridCol w:w="850"/>
        <w:gridCol w:w="495"/>
        <w:gridCol w:w="129"/>
        <w:gridCol w:w="129"/>
        <w:gridCol w:w="850"/>
        <w:gridCol w:w="23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GAAP Cost of Funds</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Economic Cost of Funds</w:t>
            </w:r>
          </w:p>
        </w:tc>
        <w:tc>
          <w:tcPr>
            <w:tcW w:w="23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Relative to Average</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Relative to Average</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SOFR</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One-Month</w:t>
            </w:r>
          </w:p>
        </w:tc>
        <w:tc>
          <w:tcPr>
            <w:tcW w:w="369"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Six-Month</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One-Month</w:t>
            </w:r>
          </w:p>
        </w:tc>
        <w:tc>
          <w:tcPr>
            <w:tcW w:w="49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Six-Month</w:t>
            </w:r>
          </w:p>
        </w:tc>
        <w:tc>
          <w:tcPr>
            <w:tcW w:w="23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One-Month</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Six-Month</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SOFR</w:t>
            </w:r>
          </w:p>
        </w:tc>
        <w:tc>
          <w:tcPr>
            <w:tcW w:w="3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SOFR</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SOFR</w:t>
            </w:r>
          </w:p>
        </w:tc>
        <w:tc>
          <w:tcPr>
            <w:tcW w:w="4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SOFR</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3.63</w:t>
            </w:r>
          </w:p>
        </w:tc>
        <w:tc>
          <w:tcPr>
            <w:tcW w:w="1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0.20</w:t>
            </w:r>
          </w:p>
        </w:tc>
        <w:tc>
          <w:tcPr>
            <w:tcW w:w="36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0.16</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(1.95</w:t>
            </w:r>
          </w:p>
        </w:tc>
        <w:tc>
          <w:tcPr>
            <w:tcW w:w="4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(1.99</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w:t>
            </w:r>
          </w:p>
        </w:tc>
        <w:tc>
          <w:tcPr>
            <w:tcW w:w="1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w:t>
            </w:r>
          </w:p>
        </w:tc>
        <w:tc>
          <w:tcPr>
            <w:tcW w:w="36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w:t>
            </w:r>
          </w:p>
        </w:tc>
        <w:tc>
          <w:tcPr>
            <w:tcW w:w="4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p>
        </w:tc>
        <w:tc>
          <w:tcPr>
            <w:tcW w:w="1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0.62</w:t>
            </w:r>
          </w:p>
        </w:tc>
        <w:tc>
          <w:tcPr>
            <w:tcW w:w="36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0.21</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0.15</w:t>
            </w:r>
          </w:p>
        </w:tc>
        <w:tc>
          <w:tcPr>
            <w:tcW w:w="4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(0.26</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4.31</w:t>
            </w:r>
          </w:p>
        </w:tc>
        <w:tc>
          <w:tcPr>
            <w:tcW w:w="1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0.28</w:t>
            </w:r>
          </w:p>
        </w:tc>
        <w:tc>
          <w:tcPr>
            <w:tcW w:w="36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0.22</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(0.15</w:t>
            </w:r>
          </w:p>
        </w:tc>
        <w:tc>
          <w:tcPr>
            <w:tcW w:w="4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(0.21</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4.32</w:t>
            </w:r>
          </w:p>
        </w:tc>
        <w:tc>
          <w:tcPr>
            <w:tcW w:w="1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0.07</w:t>
            </w:r>
          </w:p>
        </w:tc>
        <w:tc>
          <w:tcPr>
            <w:tcW w:w="36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0.02</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(0.35</w:t>
            </w:r>
          </w:p>
        </w:tc>
        <w:tc>
          <w:tcPr>
            <w:tcW w:w="4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(0.40</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4.55</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0.16</w:t>
            </w:r>
          </w:p>
        </w:tc>
        <w:tc>
          <w:tcPr>
            <w:tcW w:w="36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(0.20</w:t>
            </w:r>
          </w:p>
        </w:tc>
        <w:tc>
          <w:tcPr>
            <w:tcW w:w="4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(0.42</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w:t>
            </w:r>
          </w:p>
        </w:tc>
        <w:tc>
          <w:tcPr>
            <w:tcW w:w="1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9"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w:t>
            </w:r>
          </w:p>
        </w:tc>
        <w:tc>
          <w:tcPr>
            <w:tcW w:w="36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1.38</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0.55</w:t>
            </w:r>
          </w:p>
        </w:tc>
        <w:tc>
          <w:tcPr>
            <w:tcW w:w="4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0.42</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(0.28</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23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 Income from Orchid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owned 569,071 shares of Orchid common stock throughout each of the six months ended June 30, 2026 and 2025. Orchid paid total dividends of $0.66 per share and $0.72 per share during the six months ended June 30, 2026 and 2025, respectively, resulting in dividend income of approximately $0.4 million in each period. We owned 569,071 shares of Orchid common stock throughout each of the three months ended June 30, 2026 and 2025. Orchid paid total dividends of $0.30 per share and $0.36 per share during the three months ended June 30, 2026 and 2025, resulting in dividend income of approximately $0.2 million in each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Junior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junior subordinated debt securities paid interest at a floating rate. The interest rate is the CME Term SOFR on the applicable reset date plus the tenor spread adjustment of 0.26161% plus the coupon spread of 3.50%. Interest expense on our junior subordinated debt securities was $1.0 million and $1.1 million for the six months ended June 30, 2026 and 2025, respectively. The average rate of interest paid for the six months ended June 30, 2026 was 7.45% compared to 8.09% for the comparable period in 2025. Interest expense on our junior subordinated debt securities was $0.5 million and $0.5 million for the three months ended June 30, 2026 and 2025, respectively. The average rate of interest paid for the three months ended June 30, 2026 was 7.43% compared to 8.06% for the comparable period in 2025.</w:t>
      </w:r>
    </w:p>
    <w:p>
      <w:pPr>
        <w:pStyle w:val="TextBody"/>
        <w:bidi w:val="0"/>
        <w:spacing w:before="0" w:after="0"/>
        <w:ind w:left="0" w:right="0" w:firstLine="36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October 30, 2019, the Company borrowed $680,000 from a bank which is secured by a mortgage on the Company’s office building and has a final maturity of October 30, 2039. Through October 30, 2024, interest accrued on the note at 4.89%. Thereafter, interest accrues based on the weekly average yield to the United States Treasury securities adjusted to a constant maturity of 5 years, plus 3.25%. The interest rate reset to 7.37% on October 30, 2024 and will reset again on October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Gains or Losses and Other Income - Investment Portfolio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our gains or losses and other income for the six and three months ended June 30, 2026 and 2025.</w:t>
      </w:r>
    </w:p>
    <w:p>
      <w:pPr>
        <w:pStyle w:val="TextBody"/>
        <w:bidi w:val="0"/>
        <w:spacing w:before="0" w:after="0"/>
        <w:ind w:left="0" w:right="0" w:firstLine="360"/>
        <w:jc w:val="left"/>
        <w:rPr>
          <w:caps w:val="false"/>
          <w:smallCaps w:val="false"/>
        </w:rPr>
      </w:pPr>
      <w:r>
        <w:rPr>
          <w:caps w:val="false"/>
          <w:smallCaps w:val="false"/>
        </w:rPr>
        <w:t> </w:t>
      </w:r>
    </w:p>
    <w:tbl>
      <w:tblPr>
        <w:tblW w:w="9250" w:type="dxa"/>
        <w:jc w:val="left"/>
        <w:tblInd w:w="0" w:type="dxa"/>
        <w:tblLayout w:type="fixed"/>
        <w:tblCellMar>
          <w:top w:w="0" w:type="dxa"/>
          <w:left w:w="0" w:type="dxa"/>
          <w:bottom w:w="28" w:type="dxa"/>
          <w:right w:w="0" w:type="dxa"/>
        </w:tblCellMar>
      </w:tblPr>
      <w:tblGrid>
        <w:gridCol w:w="4490"/>
        <w:gridCol w:w="60"/>
        <w:gridCol w:w="122"/>
        <w:gridCol w:w="389"/>
        <w:gridCol w:w="89"/>
        <w:gridCol w:w="66"/>
        <w:gridCol w:w="122"/>
        <w:gridCol w:w="540"/>
        <w:gridCol w:w="89"/>
        <w:gridCol w:w="66"/>
        <w:gridCol w:w="122"/>
        <w:gridCol w:w="540"/>
        <w:gridCol w:w="80"/>
        <w:gridCol w:w="60"/>
        <w:gridCol w:w="171"/>
        <w:gridCol w:w="406"/>
        <w:gridCol w:w="125"/>
        <w:gridCol w:w="93"/>
        <w:gridCol w:w="171"/>
        <w:gridCol w:w="547"/>
        <w:gridCol w:w="125"/>
        <w:gridCol w:w="93"/>
        <w:gridCol w:w="171"/>
        <w:gridCol w:w="453"/>
        <w:gridCol w:w="60"/>
      </w:tblGrid>
      <w:tr>
        <w:trPr/>
        <w:tc>
          <w:tcPr>
            <w:tcW w:w="44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389"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40"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4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406"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547"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45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4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losses on sales of 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w:t>
            </w:r>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w:t>
            </w:r>
          </w:p>
        </w:tc>
        <w:tc>
          <w:tcPr>
            <w:tcW w:w="89"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1,390</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12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(losses) gains on MBS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(634</w:t>
            </w:r>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1,212</w:t>
            </w:r>
          </w:p>
        </w:tc>
        <w:tc>
          <w:tcPr>
            <w:tcW w:w="89"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5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4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derivative instruments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89"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w:t>
            </w:r>
          </w:p>
        </w:tc>
        <w:tc>
          <w:tcPr>
            <w:tcW w:w="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5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4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on Orchid Island Capital, Inc. common stock</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w:t>
            </w:r>
          </w:p>
        </w:tc>
        <w:tc>
          <w:tcPr>
            <w:tcW w:w="89"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(438</w:t>
            </w:r>
          </w:p>
        </w:tc>
        <w:tc>
          <w:tcPr>
            <w:tcW w:w="89"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12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w:t>
            </w:r>
          </w:p>
        </w:tc>
        <w:tc>
          <w:tcPr>
            <w:tcW w:w="12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- 33 -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invest in MBS with the intent to earn net income from the realized yield on those assets over their related funding and hedging costs, and not for the purpose of making short term gains from trading in these securities. However, we have sold, and may sell in the future,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six months ended June 30, 2026 and 2025, we received proceeds totaling $68.6 million and $9.8 million, respectively, from the sales of MBS.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fair value of our MBS portfolio and derivative instruments, and the gains (losses) reported on those financial instruments, are driven in part by changes in yields and interest rates, the spreads that MBS trade relative to comparable duration U.S. Treasuries or swaps, as well as varying levels of demand for MBS, which affect the pricing of the securities in our portfolio. The unrealized gains and losses on MBS may also include the premium lost as a result of prepayments on the underlying mortgages, decreasing unrealized gains or increasing unrealized losses as prepayment speeds or premiums increase. To the extent MBS are carried at a discount to par, unrealized gains or losses on 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as of the end of each quarter during 2026 and 2025.</w:t>
      </w:r>
    </w:p>
    <w:p>
      <w:pPr>
        <w:pStyle w:val="TextBody"/>
        <w:bidi w:val="0"/>
        <w:spacing w:before="0" w:after="0"/>
        <w:ind w:left="0" w:right="0" w:hanging="0"/>
        <w:jc w:val="left"/>
        <w:rPr/>
      </w:pPr>
      <w:r>
        <w:rPr/>
        <w:t> </w:t>
      </w:r>
    </w:p>
    <w:tbl>
      <w:tblPr>
        <w:tblW w:w="7695" w:type="dxa"/>
        <w:jc w:val="left"/>
        <w:tblInd w:w="0" w:type="dxa"/>
        <w:tblLayout w:type="fixed"/>
        <w:tblCellMar>
          <w:top w:w="28" w:type="dxa"/>
          <w:left w:w="0" w:type="dxa"/>
          <w:bottom w:w="0" w:type="dxa"/>
          <w:right w:w="0" w:type="dxa"/>
        </w:tblCellMar>
      </w:tblPr>
      <w:tblGrid>
        <w:gridCol w:w="1445"/>
        <w:gridCol w:w="60"/>
        <w:gridCol w:w="1100"/>
        <w:gridCol w:w="60"/>
        <w:gridCol w:w="60"/>
        <w:gridCol w:w="1100"/>
        <w:gridCol w:w="60"/>
        <w:gridCol w:w="60"/>
        <w:gridCol w:w="1370"/>
        <w:gridCol w:w="60"/>
        <w:gridCol w:w="60"/>
        <w:gridCol w:w="1370"/>
        <w:gridCol w:w="60"/>
        <w:gridCol w:w="60"/>
        <w:gridCol w:w="710"/>
        <w:gridCol w:w="60"/>
      </w:tblGrid>
      <w:tr>
        <w:trPr/>
        <w:tc>
          <w:tcPr>
            <w:tcW w:w="1445"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 Year</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 Year</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370" w:type="dxa"/>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15 Year</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370" w:type="dxa"/>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 Year</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Three</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U.S. Treasury</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U.S. Treasury</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Fixed-Rate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Fixed-Rate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1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Month</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370"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 Rate(2)</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370"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 Rate(2)</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SOFR(3)</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4.19%</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4.42%</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5.84%</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6.49%</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71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3.63%</w:t>
            </w:r>
          </w:p>
        </w:tc>
        <w:tc>
          <w:tcPr>
            <w:tcW w:w="60" w:type="dxa"/>
            <w:tcBorders/>
            <w:shd w:fill="CCEEFF" w:val="clear"/>
            <w:tcMar>
              <w:top w:w="0" w:type="dxa"/>
            </w:tcM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2026</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3.95%</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4.31%</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5.75%</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6.38%</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1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3.68%</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3.72%</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4.16%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5.44%</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6.15%</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71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4.01%</w:t>
            </w:r>
          </w:p>
        </w:tc>
        <w:tc>
          <w:tcPr>
            <w:tcW w:w="60" w:type="dxa"/>
            <w:tcBorders/>
            <w:shd w:fill="CCEEFF" w:val="clear"/>
            <w:tcMar>
              <w:top w:w="0" w:type="dxa"/>
            </w:tcM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3.73%</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4.15%</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5.49%</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6.30%</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1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4.35%</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3.80%</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4.23%</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5.89%</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37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6.77%</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710" w:type="dxa"/>
            <w:tcBorders/>
            <w:shd w:fill="CCEE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4.34%</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3.98%</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10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4.25%</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5.89%</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37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6.65%</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710" w:type="dxa"/>
            <w:tcBorders/>
            <w:shd w:fill="FFFFFF" w:val="clear"/>
            <w:tcMar>
              <w:top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4.35%</w:t>
            </w:r>
          </w:p>
        </w:tc>
        <w:tc>
          <w:tcPr>
            <w:tcW w:w="60" w:type="dxa"/>
            <w:tcBorders/>
            <w:shd w:fill="FFFFFF" w:val="clear"/>
            <w:tcMar>
              <w:top w:w="0"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5 Year and 10 Year U.S. Treasury Rates are obtained from quoted end of day prices on the Chicago Board Options Exchange.</w:t>
            </w:r>
          </w:p>
        </w:tc>
      </w:tr>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15 Year and 30 Year Fixed Rate Mortgage Rates are obtained from Freddie Mac’s Primary Mortgage Market Survey.</w:t>
            </w:r>
          </w:p>
        </w:tc>
      </w:tr>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SOFR is obtained from the Federal Reserve Bank of New York. The SOFR averages are compounded averages of the SOFR over rolling 30- and 180-day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six and three months ended June 30, 2026, our total operating expenses were approximately $8.6 million and $4.9 million, respectively, compared to $5.7 million and $2.8 million for the six and three months ended June 30, 2025, respectively, as detailed in the table below.</w:t>
      </w:r>
    </w:p>
    <w:p>
      <w:pPr>
        <w:pStyle w:val="TextBody"/>
        <w:bidi w:val="0"/>
        <w:spacing w:before="0" w:after="0"/>
        <w:ind w:left="0" w:right="0" w:firstLine="360"/>
        <w:jc w:val="left"/>
        <w:rPr>
          <w:caps w:val="false"/>
          <w:smallCaps w:val="false"/>
        </w:rPr>
      </w:pPr>
      <w:r>
        <w:rPr>
          <w:caps w:val="false"/>
          <w:smallCaps w:val="false"/>
        </w:rPr>
        <w:t> </w:t>
      </w:r>
    </w:p>
    <w:tbl>
      <w:tblPr>
        <w:tblW w:w="7583" w:type="dxa"/>
        <w:jc w:val="left"/>
        <w:tblInd w:w="0" w:type="dxa"/>
        <w:tblLayout w:type="fixed"/>
        <w:tblCellMar>
          <w:top w:w="0" w:type="dxa"/>
          <w:left w:w="0" w:type="dxa"/>
          <w:bottom w:w="28" w:type="dxa"/>
          <w:right w:w="0" w:type="dxa"/>
        </w:tblCellMar>
      </w:tblPr>
      <w:tblGrid>
        <w:gridCol w:w="2810"/>
        <w:gridCol w:w="60"/>
        <w:gridCol w:w="128"/>
        <w:gridCol w:w="495"/>
        <w:gridCol w:w="69"/>
        <w:gridCol w:w="69"/>
        <w:gridCol w:w="128"/>
        <w:gridCol w:w="495"/>
        <w:gridCol w:w="69"/>
        <w:gridCol w:w="69"/>
        <w:gridCol w:w="128"/>
        <w:gridCol w:w="495"/>
        <w:gridCol w:w="60"/>
        <w:gridCol w:w="60"/>
        <w:gridCol w:w="140"/>
        <w:gridCol w:w="543"/>
        <w:gridCol w:w="76"/>
        <w:gridCol w:w="76"/>
        <w:gridCol w:w="140"/>
        <w:gridCol w:w="543"/>
        <w:gridCol w:w="76"/>
        <w:gridCol w:w="76"/>
        <w:gridCol w:w="140"/>
        <w:gridCol w:w="543"/>
        <w:gridCol w:w="95"/>
      </w:tblGrid>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495"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495"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4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4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3"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and related benefits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4,666</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3,772</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2,620</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1,854</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advisory services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4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863</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4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787</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4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419</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446</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492</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490</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233</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related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1,516</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915</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915</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4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203</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Administrative and other 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459</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304</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81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8,572</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5,743</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4,845</w:t>
            </w:r>
          </w:p>
        </w:tc>
        <w:tc>
          <w:tcPr>
            <w:tcW w:w="76" w:type="dxa"/>
            <w:tcBorders>
              <w:bottom w:val="double" w:sz="6" w:space="0" w:color="000000"/>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2,819</w:t>
            </w:r>
          </w:p>
        </w:tc>
        <w:tc>
          <w:tcPr>
            <w:tcW w:w="76" w:type="dxa"/>
            <w:tcBorders>
              <w:bottom w:val="double" w:sz="6" w:space="0" w:color="000000"/>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2,026</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Approximately $0.7 million of the increase in compensation and related benefits for the six and three month periods ended June 30, 2026, was attributable to additional personnel associated with the TJIM Acquisition. Amortization expense for the six and three month periods ended June 30, 2026, primarily reflects the amortization of identifiable intangible assets recognized in connection with the TJIM Acquisition.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- 34 -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recorded income tax provisions for the six months ended June 30, 2026 and 2025 of approximately $1.5 million and $0.2 million, respectively, on consolidated pre-tax book income of $2.8 million and $0.8 million, respectively. We recorded income tax provisions for the three months ended June 30, 2026 and 2025 of approximately $1.3 million and $0.01 million, respectively, on consolidated pre-tax book income of $1.8 million and $0.05 million, respectively. The Company uses the discrete-period computation method for determining its income tax provision. Our income tax provision is affected by numerous factors, including non-deductible expenses, the projected utilization of net operating loss carryovers and changes in our deferred tax assets and liabilities and their valuations, and can result in significant variations in the customary relationship between pretax income and income tax expense. During the three months ended June 30, 2026, the Company reassessed the realizability of its deferred tax assets in connection with the acquisition of TJIM. As a result of this reassessment, the Company recorded an increase in its valuation allowance and a corresponding increase in income tax expense of approximately $1.1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Mortgage-Backed Securities - Investment Portfolio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our MBS portfolio consisted of $16.0 million of agency or government MBS at fair value and had a weighted average coupon of 5.35%. During the six months ended June 30, 2026, we received principal repayments of $3.7 million compared to $6.2 million for the comparable period ended June 30, 2025. The average prepayment speeds for the quarters ended June 30, 2026 and 2025 were 8.1% and 9.9%,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three-month constant prepayment rate (“CPR”) experienced on our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three-month prepayment rate of the securities in the respective asset category.</w:t>
      </w:r>
    </w:p>
    <w:p>
      <w:pPr>
        <w:pStyle w:val="TextBody"/>
        <w:bidi w:val="0"/>
        <w:spacing w:before="0" w:after="0"/>
        <w:ind w:left="0" w:right="0" w:hanging="0"/>
        <w:jc w:val="left"/>
        <w:rPr>
          <w:caps w:val="false"/>
          <w:smallCaps w:val="false"/>
        </w:rPr>
      </w:pPr>
      <w:r>
        <w:rPr>
          <w:caps w:val="false"/>
          <w:smallCaps w:val="false"/>
        </w:rPr>
        <w:t> </w:t>
      </w:r>
    </w:p>
    <w:tbl>
      <w:tblPr>
        <w:tblW w:w="2844" w:type="dxa"/>
        <w:jc w:val="left"/>
        <w:tblInd w:w="0" w:type="dxa"/>
        <w:tblLayout w:type="fixed"/>
        <w:tblCellMar>
          <w:top w:w="0" w:type="dxa"/>
          <w:left w:w="0" w:type="dxa"/>
          <w:bottom w:w="0" w:type="dxa"/>
          <w:right w:w="0" w:type="dxa"/>
        </w:tblCellMar>
      </w:tblPr>
      <w:tblGrid>
        <w:gridCol w:w="1685"/>
        <w:gridCol w:w="60"/>
        <w:gridCol w:w="153"/>
        <w:gridCol w:w="871"/>
        <w:gridCol w:w="7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top w:val="single" w:sz="2" w:space="0" w:color="000000"/>
            </w:tcBorders>
            <w:shd w:fill="FFFFFF"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24" w:type="dxa"/>
            <w:gridSpan w:val="2"/>
            <w:tcBorders>
              <w:top w:val="single" w:sz="2"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75" w:type="dxa"/>
            <w:tcBorders>
              <w:top w:val="single" w:sz="2" w:space="0" w:color="000000"/>
            </w:tcBorders>
            <w:shd w:fill="FFFFFF" w:val="clear"/>
            <w:tcMar>
              <w:top w:w="28" w:type="dxa"/>
            </w:tcM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 (%)</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certain characteristics of our PT MBS and structured MBS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1460"/>
        <w:gridCol w:w="60"/>
        <w:gridCol w:w="110"/>
        <w:gridCol w:w="515"/>
        <w:gridCol w:w="60"/>
        <w:gridCol w:w="60"/>
        <w:gridCol w:w="114"/>
        <w:gridCol w:w="641"/>
        <w:gridCol w:w="170"/>
        <w:gridCol w:w="60"/>
        <w:gridCol w:w="129"/>
        <w:gridCol w:w="626"/>
        <w:gridCol w:w="60"/>
        <w:gridCol w:w="710"/>
      </w:tblGrid>
      <w:tr>
        <w:trPr/>
        <w:tc>
          <w:tcPr>
            <w:tcW w:w="1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Longest</w:t>
            </w:r>
          </w:p>
        </w:tc>
      </w:tr>
      <w:tr>
        <w:trPr/>
        <w:tc>
          <w:tcPr>
            <w:tcW w:w="14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Coupon</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p>
        </w:tc>
      </w:tr>
      <w:tr>
        <w:trPr/>
        <w:tc>
          <w:tcPr>
            <w:tcW w:w="1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5/1/2053</w:t>
            </w:r>
          </w:p>
        </w:tc>
      </w:tr>
      <w:tr>
        <w:trPr/>
        <w:tc>
          <w:tcPr>
            <w:tcW w:w="1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5.73</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8/1/2054</w:t>
            </w:r>
          </w:p>
        </w:tc>
      </w:tr>
    </w:tbl>
    <w:p>
      <w:pPr>
        <w:pStyle w:val="TextBody"/>
        <w:bidi w:val="0"/>
        <w:spacing w:before="0" w:after="0"/>
        <w:ind w:left="0" w:right="0" w:hanging="0"/>
        <w:jc w:val="left"/>
        <w:rPr>
          <w:caps w:val="false"/>
          <w:smallCaps w:val="false"/>
        </w:rPr>
      </w:pPr>
      <w:r>
        <w:rPr>
          <w:caps w:val="false"/>
          <w:smallCaps w:val="false"/>
        </w:rPr>
        <w:t> </w:t>
      </w:r>
    </w:p>
    <w:tbl>
      <w:tblPr>
        <w:tblW w:w="5978" w:type="dxa"/>
        <w:jc w:val="left"/>
        <w:tblInd w:w="0" w:type="dxa"/>
        <w:tblLayout w:type="fixed"/>
        <w:tblCellMar>
          <w:top w:w="0" w:type="dxa"/>
          <w:left w:w="0" w:type="dxa"/>
          <w:bottom w:w="28" w:type="dxa"/>
          <w:right w:w="0" w:type="dxa"/>
        </w:tblCellMar>
      </w:tblPr>
      <w:tblGrid>
        <w:gridCol w:w="1190"/>
        <w:gridCol w:w="60"/>
        <w:gridCol w:w="146"/>
        <w:gridCol w:w="683"/>
        <w:gridCol w:w="60"/>
        <w:gridCol w:w="60"/>
        <w:gridCol w:w="148"/>
        <w:gridCol w:w="1056"/>
        <w:gridCol w:w="170"/>
        <w:gridCol w:w="60"/>
        <w:gridCol w:w="145"/>
        <w:gridCol w:w="684"/>
        <w:gridCol w:w="71"/>
        <w:gridCol w:w="71"/>
        <w:gridCol w:w="148"/>
        <w:gridCol w:w="1056"/>
        <w:gridCol w:w="170"/>
      </w:tblGrid>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jc w:val="left"/>
              <w:rPr/>
            </w:pPr>
            <w:r>
              <w:rPr/>
              <w:t> </w:t>
            </w:r>
          </w:p>
        </w:tc>
        <w:tc>
          <w:tcPr>
            <w:tcW w:w="68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5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June 30, 2026</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Agency</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21,924</w:t>
            </w:r>
          </w:p>
        </w:tc>
        <w:tc>
          <w:tcPr>
            <w:tcW w:w="7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13,698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67,005</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75.3</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Portfolio</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15,985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88,929</w:t>
            </w:r>
          </w:p>
        </w:tc>
        <w:tc>
          <w:tcPr>
            <w:tcW w:w="71" w:type="dxa"/>
            <w:tcBorders>
              <w:bottom w:val="double" w:sz="6" w:space="0" w:color="000000"/>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- 35 -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the Company's portfolio had an effective duration of 3.495, indicating that an interest rate increase of 1.0% would be expected to cause a 3.495% decrease in the value of the MBS in our investment portfolio. As of December 31, 2025, the Company's portfolio had an effective duration of 2.229, indicating that an interest rate increase of 1.0% would be expected to cause a 2.229% decrease in the value of the MBS in our investment portfolio. These figures do not include the effect of our funding cost hedges. Effective duration quotes for individual investments are obtained from The Yield Book,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portfolio of PT MBS is typically comprised of adjustable-rate MBS, fixed-rate MBS and hybrid adjustable-rate MBS. We generally seek to acquire low duration assets that offer high levels of protection from mortgage prepayments provided that they are reasonably priced by the market. The stated contractual final maturity of the mortgage loans underlying our portfolio of PT MBS generally ranges up to 30 years. However, the effect of prepayments of the underlying mortgage loans tends to shorten the resulting cash flows from our investments substantially. Prepayments occur for various reasons, including refinancing of underlying mortgages, loan payoffs in connection with home sales, and borrowers paying more than their scheduled loan payments, which accelerates the amortization of the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 of IIO’s similarly, but the floating rate nature of the coupon of IIOs (which has inverse relationship to their reference index) causes their price movements - and model duration - to be affected by changes in both prepayments and their reference index - both current and anticipated levels. As a result, the duration of IIO securities will also vary greatly.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Prepayments on the loans underlying our MBS can alter the timing of the cash flows received by us. As a result, we gauge the interest rate sensitivity of its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face the risk that the market value of our MBS assets will increase or decrease at different rates than those of our hedging instruments. Accordingly, we assess our interest rate risk by estimating the duration of our assets and the duration of our hedge instruments. We generally calculate duration and effective duration using various third-party models or obtain these quotes from third parties. However, empirical results and various third-party models may produce different duration numbers for the same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sensitivity analysis shows the estimated impact on the fair value of our interest rate-sensitive investments and hedge positions as of June 30, 2026, assuming rates instantaneously fall 200 bps, fall 100 bps and rise 100 bps, adjusted to reflect the impact of convexity, which is the measure of the sensitivity of our hedge positions and Agency MBS’ effective duration to movements in interest rates.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2420"/>
        <w:gridCol w:w="60"/>
        <w:gridCol w:w="119"/>
        <w:gridCol w:w="561"/>
        <w:gridCol w:w="60"/>
        <w:gridCol w:w="60"/>
        <w:gridCol w:w="125"/>
        <w:gridCol w:w="555"/>
        <w:gridCol w:w="80"/>
        <w:gridCol w:w="60"/>
        <w:gridCol w:w="162"/>
        <w:gridCol w:w="518"/>
        <w:gridCol w:w="80"/>
        <w:gridCol w:w="60"/>
        <w:gridCol w:w="173"/>
        <w:gridCol w:w="552"/>
        <w:gridCol w:w="80"/>
        <w:gridCol w:w="60"/>
        <w:gridCol w:w="74"/>
        <w:gridCol w:w="606"/>
        <w:gridCol w:w="230"/>
        <w:gridCol w:w="60"/>
        <w:gridCol w:w="89"/>
        <w:gridCol w:w="591"/>
        <w:gridCol w:w="230"/>
        <w:gridCol w:w="60"/>
        <w:gridCol w:w="95"/>
        <w:gridCol w:w="630"/>
        <w:gridCol w:w="23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vAlign w:val="center"/>
          </w:tcPr>
          <w:p>
            <w:pPr>
              <w:pStyle w:val="TableContents"/>
              <w:bidi w:val="0"/>
              <w:spacing w:before="0" w:after="283"/>
              <w:jc w:val="left"/>
              <w:rPr/>
            </w:pPr>
            <w:r>
              <w:rPr/>
              <w:t> </w:t>
            </w:r>
          </w:p>
        </w:tc>
        <w:tc>
          <w:tcPr>
            <w:tcW w:w="56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5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vAlign w:val="center"/>
          </w:tcPr>
          <w:p>
            <w:pPr>
              <w:pStyle w:val="TableContents"/>
              <w:bidi w:val="0"/>
              <w:spacing w:before="0" w:after="283"/>
              <w:jc w:val="left"/>
              <w:rPr/>
            </w:pPr>
            <w:r>
              <w:rPr/>
              <w:t> </w:t>
            </w:r>
          </w:p>
        </w:tc>
        <w:tc>
          <w:tcPr>
            <w:tcW w:w="51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c>
          <w:tcPr>
            <w:tcW w:w="552"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jc w:val="left"/>
              <w:rPr/>
            </w:pPr>
            <w:r>
              <w:rPr/>
              <w:t> </w:t>
            </w:r>
          </w:p>
        </w:tc>
        <w:tc>
          <w:tcPr>
            <w:tcW w:w="606" w:type="dxa"/>
            <w:tcBorders>
              <w:bottom w:val="single" w:sz="2" w:space="0" w:color="000000"/>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591" w:type="dxa"/>
            <w:tcBorders>
              <w:bottom w:val="single" w:sz="2" w:space="0" w:color="000000"/>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630" w:type="dxa"/>
            <w:tcBorders>
              <w:bottom w:val="single" w:sz="2" w:space="0" w:color="000000"/>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6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Change in Fair Value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6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Change in Fair Value</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MBS Portfolio</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-200BPS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-200BPS</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MBS Portfolio</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6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15,985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5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708</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(644</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4.43</w:t>
            </w:r>
          </w:p>
        </w:tc>
        <w:tc>
          <w:tcPr>
            <w:tcW w:w="23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2.83</w:t>
            </w:r>
          </w:p>
        </w:tc>
        <w:tc>
          <w:tcPr>
            <w:tcW w:w="23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(4.03</w:t>
            </w:r>
          </w:p>
        </w:tc>
        <w:tc>
          <w:tcPr>
            <w:tcW w:w="23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6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Change in Fair Value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6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Change in Fair Value</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Repurchase Agreement Hedges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Amount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-200BPS</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-200BPS</w:t>
            </w:r>
          </w:p>
        </w:tc>
        <w:tc>
          <w:tcPr>
            <w:tcW w:w="23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23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+100BPS</w:t>
            </w:r>
          </w:p>
        </w:tc>
        <w:tc>
          <w:tcPr>
            <w:tcW w:w="23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Futures Contracts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(11.12</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(5.38</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5.07</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42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Gross Totals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vAlign w:val="center"/>
          </w:tcPr>
          <w:p>
            <w:pPr>
              <w:pStyle w:val="TableContents"/>
              <w:bidi w:val="0"/>
              <w:spacing w:before="0" w:after="283"/>
              <w:jc w:val="left"/>
              <w:rPr/>
            </w:pPr>
            <w:r>
              <w:rPr/>
              <w:t> </w:t>
            </w:r>
          </w:p>
        </w:tc>
        <w:tc>
          <w:tcPr>
            <w:tcW w:w="561"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5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(404</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(86</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vAlign w:val="center"/>
          </w:tcPr>
          <w:p>
            <w:pPr>
              <w:pStyle w:val="TableContents"/>
              <w:bidi w:val="0"/>
              <w:spacing w:before="0" w:after="283"/>
              <w:jc w:val="left"/>
              <w:rPr/>
            </w:pPr>
            <w:r>
              <w:rPr/>
              <w:t> </w:t>
            </w:r>
          </w:p>
        </w:tc>
        <w:tc>
          <w:tcPr>
            <w:tcW w:w="606" w:type="dxa"/>
            <w:tcBorders>
              <w:bottom w:val="double" w:sz="6" w:space="0" w:color="000000"/>
            </w:tcBorders>
            <w:shd w:fill="CCEEFF" w:val="clear"/>
            <w:vAlign w:val="center"/>
          </w:tcPr>
          <w:p>
            <w:pPr>
              <w:pStyle w:val="TableContents"/>
              <w:bidi w:val="0"/>
              <w:spacing w:before="0" w:after="283"/>
              <w:jc w:val="right"/>
              <w:rPr/>
            </w:pPr>
            <w:r>
              <w:rPr/>
              <w:t> </w:t>
            </w:r>
          </w:p>
        </w:tc>
        <w:tc>
          <w:tcPr>
            <w:tcW w:w="23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vAlign w:val="center"/>
          </w:tcPr>
          <w:p>
            <w:pPr>
              <w:pStyle w:val="TableContents"/>
              <w:bidi w:val="0"/>
              <w:spacing w:before="0" w:after="283"/>
              <w:jc w:val="right"/>
              <w:rPr/>
            </w:pPr>
            <w:r>
              <w:rPr/>
              <w:t> </w:t>
            </w:r>
          </w:p>
        </w:tc>
        <w:tc>
          <w:tcPr>
            <w:tcW w:w="23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c>
          <w:tcPr>
            <w:tcW w:w="630" w:type="dxa"/>
            <w:tcBorders>
              <w:bottom w:val="double" w:sz="6" w:space="0" w:color="000000"/>
            </w:tcBorders>
            <w:shd w:fill="CCEEFF" w:val="clear"/>
            <w:vAlign w:val="center"/>
          </w:tcPr>
          <w:p>
            <w:pPr>
              <w:pStyle w:val="TableContents"/>
              <w:bidi w:val="0"/>
              <w:spacing w:before="0" w:after="283"/>
              <w:jc w:val="right"/>
              <w:rPr/>
            </w:pPr>
            <w:r>
              <w:rPr/>
              <w:t> </w:t>
            </w:r>
          </w:p>
        </w:tc>
        <w:tc>
          <w:tcPr>
            <w:tcW w:w="23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changes in interest rates, other factors impact the fair value of our interest rate-sensitive investments and hedging instruments,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we had established borrowing facilities in the repurchase agreement market with a number of commercial banks and other financial institutions and had borrowings in place with three of these counterparties. We believe these facilities provide borrowing capacity in excess of our needs. None of these lenders are affiliated with us. These borrowings are secured by our MBS.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- 36 -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we had obligations outstanding under the repurchase agreements of approximately $15.0 million with a net weighted average borrowing cost of 3.76%. The remaining maturity of our outstanding repurchase agreement obligations ranged from 13 to 42 days, with a weighted average maturity of 22 days. Securing the repurchase agreement obligation as of June 30, 2026 are MBS with an estimated fair value, including accrued interest, of $15.9 million. Through August 6, 2026, we have been able to maintain our repurchase facilities with comparable terms to those that existed at June 30, 2026 with maturities through August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information about our period-end, maximum and average repurchase agreement obligations for each quarter in 2026 and 2025.</w:t>
      </w:r>
    </w:p>
    <w:p>
      <w:pPr>
        <w:pStyle w:val="TextBody"/>
        <w:bidi w:val="0"/>
        <w:spacing w:before="0" w:after="0"/>
        <w:ind w:left="0" w:right="0" w:hanging="0"/>
        <w:jc w:val="left"/>
        <w:rPr>
          <w:caps w:val="false"/>
          <w:smallCaps w:val="false"/>
        </w:rPr>
      </w:pPr>
      <w:r>
        <w:rPr>
          <w:caps w:val="false"/>
          <w:smallCaps w:val="false"/>
        </w:rPr>
        <w:t> </w:t>
      </w:r>
    </w:p>
    <w:tbl>
      <w:tblPr>
        <w:tblW w:w="8274" w:type="dxa"/>
        <w:jc w:val="left"/>
        <w:tblInd w:w="0" w:type="dxa"/>
        <w:tblLayout w:type="fixed"/>
        <w:tblCellMar>
          <w:top w:w="28" w:type="dxa"/>
          <w:left w:w="0" w:type="dxa"/>
          <w:bottom w:w="0" w:type="dxa"/>
          <w:right w:w="0" w:type="dxa"/>
        </w:tblCellMar>
      </w:tblPr>
      <w:tblGrid>
        <w:gridCol w:w="1670"/>
        <w:gridCol w:w="60"/>
        <w:gridCol w:w="172"/>
        <w:gridCol w:w="957"/>
        <w:gridCol w:w="60"/>
        <w:gridCol w:w="60"/>
        <w:gridCol w:w="172"/>
        <w:gridCol w:w="957"/>
        <w:gridCol w:w="60"/>
        <w:gridCol w:w="60"/>
        <w:gridCol w:w="172"/>
        <w:gridCol w:w="957"/>
        <w:gridCol w:w="60"/>
        <w:gridCol w:w="60"/>
        <w:gridCol w:w="206"/>
        <w:gridCol w:w="1080"/>
        <w:gridCol w:w="148"/>
        <w:gridCol w:w="111"/>
        <w:gridCol w:w="111"/>
        <w:gridCol w:w="911"/>
        <w:gridCol w:w="230"/>
      </w:tblGrid>
      <w:tr>
        <w:trPr/>
        <w:tc>
          <w:tcPr>
            <w:tcW w:w="16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129"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Ending</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129"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Maximum</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129"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2567" w:type="dxa"/>
            <w:gridSpan w:val="6"/>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Difference Between Ending</w:t>
            </w:r>
          </w:p>
        </w:tc>
        <w:tc>
          <w:tcPr>
            <w:tcW w:w="23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Balance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Balance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Balance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567" w:type="dxa"/>
            <w:gridSpan w:val="6"/>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Repurchase Agreements and</w:t>
            </w:r>
          </w:p>
        </w:tc>
        <w:tc>
          <w:tcPr>
            <w:tcW w:w="230" w:type="dxa"/>
            <w:tcBorders/>
            <w:shd w:fill="FFFFFF" w:val="clear"/>
            <w:tcMar>
              <w:top w:w="0" w:type="dxa"/>
            </w:tcM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Repurchase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Repurchase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Repurchase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567"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Repurchase Agreements</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Agreements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Agreements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Agreements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Amount</w:t>
            </w:r>
          </w:p>
        </w:tc>
        <w:tc>
          <w:tcPr>
            <w:tcW w:w="14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15,033</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15,203</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15,109</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6"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8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(76</w:t>
            </w:r>
          </w:p>
        </w:tc>
        <w:tc>
          <w:tcPr>
            <w:tcW w:w="148"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CCEEFF" w:val="clear"/>
            <w:tcMar>
              <w:top w:w="0" w:type="dxa"/>
            </w:tcMar>
            <w:vAlign w:val="center"/>
          </w:tcPr>
          <w:p>
            <w:pPr>
              <w:pStyle w:val="TableContents"/>
              <w:bidi w:val="0"/>
              <w:spacing w:before="0" w:after="283"/>
              <w:jc w:val="left"/>
              <w:rPr/>
            </w:pPr>
            <w:r>
              <w:rPr/>
              <w:t> </w:t>
            </w:r>
          </w:p>
        </w:tc>
        <w:tc>
          <w:tcPr>
            <w:tcW w:w="111" w:type="dxa"/>
            <w:tcBorders/>
            <w:shd w:fill="CCEEFF" w:val="clear"/>
            <w:tcMar>
              <w:top w:w="0" w:type="dxa"/>
            </w:tcMar>
            <w:vAlign w:val="center"/>
          </w:tcPr>
          <w:p>
            <w:pPr>
              <w:pStyle w:val="TableContents"/>
              <w:bidi w:val="0"/>
              <w:spacing w:before="0" w:after="283"/>
              <w:jc w:val="left"/>
              <w:rPr/>
            </w:pPr>
            <w:r>
              <w:rPr/>
              <w:t> </w:t>
            </w:r>
          </w:p>
        </w:tc>
        <w:tc>
          <w:tcPr>
            <w:tcW w:w="91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(0.50</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ind w:left="0" w:right="0" w:hanging="0"/>
              <w:jc w:val="left"/>
              <w:rPr/>
            </w:pPr>
            <w:r>
              <w:rPr/>
              <w:t> </w:t>
            </w:r>
          </w:p>
        </w:tc>
        <w:tc>
          <w:tcPr>
            <w:tcW w:w="95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15,184</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ind w:left="0" w:right="0" w:hanging="0"/>
              <w:jc w:val="left"/>
              <w:rPr/>
            </w:pPr>
            <w:r>
              <w:rPr/>
              <w:t> </w:t>
            </w:r>
          </w:p>
        </w:tc>
        <w:tc>
          <w:tcPr>
            <w:tcW w:w="95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85,332</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ind w:left="0" w:right="0" w:hanging="0"/>
              <w:jc w:val="left"/>
              <w:rPr/>
            </w:pPr>
            <w:r>
              <w:rPr/>
              <w:t> </w:t>
            </w:r>
          </w:p>
        </w:tc>
        <w:tc>
          <w:tcPr>
            <w:tcW w:w="95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50,255</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06" w:type="dxa"/>
            <w:tcBorders/>
            <w:shd w:fill="FFFFFF" w:val="clear"/>
            <w:tcMar>
              <w:top w:w="0" w:type="dxa"/>
            </w:tcMar>
            <w:vAlign w:val="center"/>
          </w:tcPr>
          <w:p>
            <w:pPr>
              <w:pStyle w:val="TableContents"/>
              <w:bidi w:val="0"/>
              <w:spacing w:before="0" w:after="283"/>
              <w:ind w:left="0" w:right="0" w:hanging="0"/>
              <w:jc w:val="left"/>
              <w:rPr/>
            </w:pPr>
            <w:r>
              <w:rPr/>
              <w:t> </w:t>
            </w:r>
          </w:p>
        </w:tc>
        <w:tc>
          <w:tcPr>
            <w:tcW w:w="108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(35,071</w:t>
            </w:r>
          </w:p>
        </w:tc>
        <w:tc>
          <w:tcPr>
            <w:tcW w:w="148"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FFFFFF" w:val="clear"/>
            <w:tcMar>
              <w:top w:w="0" w:type="dxa"/>
            </w:tcMar>
            <w:vAlign w:val="center"/>
          </w:tcPr>
          <w:p>
            <w:pPr>
              <w:pStyle w:val="TableContents"/>
              <w:bidi w:val="0"/>
              <w:spacing w:before="0" w:after="283"/>
              <w:jc w:val="left"/>
              <w:rPr/>
            </w:pPr>
            <w:r>
              <w:rPr/>
              <w:t> </w:t>
            </w:r>
          </w:p>
        </w:tc>
        <w:tc>
          <w:tcPr>
            <w:tcW w:w="111" w:type="dxa"/>
            <w:tcBorders/>
            <w:shd w:fill="FFFFFF" w:val="clear"/>
            <w:tcMar>
              <w:top w:w="0" w:type="dxa"/>
            </w:tcMar>
            <w:vAlign w:val="center"/>
          </w:tcPr>
          <w:p>
            <w:pPr>
              <w:pStyle w:val="TableContents"/>
              <w:bidi w:val="0"/>
              <w:spacing w:before="0" w:after="283"/>
              <w:ind w:left="0" w:right="0" w:hanging="0"/>
              <w:jc w:val="left"/>
              <w:rPr/>
            </w:pPr>
            <w:r>
              <w:rPr/>
              <w:t> </w:t>
            </w:r>
          </w:p>
        </w:tc>
        <w:tc>
          <w:tcPr>
            <w:tcW w:w="911"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(69.79</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ind w:left="0" w:right="0" w:hanging="0"/>
              <w:jc w:val="left"/>
              <w:rPr/>
            </w:pPr>
            <w:r>
              <w:rPr/>
              <w:t> </w:t>
            </w:r>
          </w:p>
        </w:tc>
        <w:tc>
          <w:tcPr>
            <w:tcW w:w="95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ind w:left="0" w:right="0" w:hanging="0"/>
              <w:jc w:val="left"/>
              <w:rPr/>
            </w:pPr>
            <w:r>
              <w:rPr/>
              <w:t> </w:t>
            </w:r>
          </w:p>
        </w:tc>
        <w:tc>
          <w:tcPr>
            <w:tcW w:w="95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99,953</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ind w:left="0" w:right="0" w:hanging="0"/>
              <w:jc w:val="left"/>
              <w:rPr/>
            </w:pPr>
            <w:r>
              <w:rPr/>
              <w:t> </w:t>
            </w:r>
          </w:p>
        </w:tc>
        <w:tc>
          <w:tcPr>
            <w:tcW w:w="95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92,640</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6" w:type="dxa"/>
            <w:tcBorders/>
            <w:shd w:fill="CCEEFF" w:val="clear"/>
            <w:tcMar>
              <w:top w:w="0" w:type="dxa"/>
            </w:tcMar>
            <w:vAlign w:val="center"/>
          </w:tcPr>
          <w:p>
            <w:pPr>
              <w:pStyle w:val="TableContents"/>
              <w:bidi w:val="0"/>
              <w:spacing w:before="0" w:after="283"/>
              <w:ind w:left="0" w:right="0" w:hanging="0"/>
              <w:jc w:val="left"/>
              <w:rPr/>
            </w:pPr>
            <w:r>
              <w:rPr/>
              <w:t> </w:t>
            </w:r>
          </w:p>
        </w:tc>
        <w:tc>
          <w:tcPr>
            <w:tcW w:w="108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(7,314</w:t>
            </w:r>
          </w:p>
        </w:tc>
        <w:tc>
          <w:tcPr>
            <w:tcW w:w="148"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CCEEFF" w:val="clear"/>
            <w:tcMar>
              <w:top w:w="0" w:type="dxa"/>
            </w:tcMar>
            <w:vAlign w:val="center"/>
          </w:tcPr>
          <w:p>
            <w:pPr>
              <w:pStyle w:val="TableContents"/>
              <w:bidi w:val="0"/>
              <w:spacing w:before="0" w:after="283"/>
              <w:jc w:val="left"/>
              <w:rPr/>
            </w:pPr>
            <w:r>
              <w:rPr/>
              <w:t> </w:t>
            </w:r>
          </w:p>
        </w:tc>
        <w:tc>
          <w:tcPr>
            <w:tcW w:w="111" w:type="dxa"/>
            <w:tcBorders/>
            <w:shd w:fill="CCEEFF" w:val="clear"/>
            <w:tcMar>
              <w:top w:w="0" w:type="dxa"/>
            </w:tcMar>
            <w:vAlign w:val="center"/>
          </w:tcPr>
          <w:p>
            <w:pPr>
              <w:pStyle w:val="TableContents"/>
              <w:bidi w:val="0"/>
              <w:spacing w:before="0" w:after="283"/>
              <w:ind w:left="0" w:right="0" w:hanging="0"/>
              <w:jc w:val="left"/>
              <w:rPr/>
            </w:pPr>
            <w:r>
              <w:rPr/>
              <w:t> </w:t>
            </w:r>
          </w:p>
        </w:tc>
        <w:tc>
          <w:tcPr>
            <w:tcW w:w="911"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(7.90</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99,953</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101,788</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100,848</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06" w:type="dxa"/>
            <w:tcBorders/>
            <w:shd w:fill="FFFFFF" w:val="clear"/>
            <w:tcMar>
              <w:top w:w="0" w:type="dxa"/>
            </w:tcMar>
            <w:vAlign w:val="center"/>
          </w:tcPr>
          <w:p>
            <w:pPr>
              <w:pStyle w:val="TableContents"/>
              <w:bidi w:val="0"/>
              <w:spacing w:before="0" w:after="283"/>
              <w:jc w:val="left"/>
              <w:rPr/>
            </w:pPr>
            <w:r>
              <w:rPr/>
              <w:t> </w:t>
            </w:r>
          </w:p>
        </w:tc>
        <w:tc>
          <w:tcPr>
            <w:tcW w:w="108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(895</w:t>
            </w:r>
          </w:p>
        </w:tc>
        <w:tc>
          <w:tcPr>
            <w:tcW w:w="148"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FFFFFF" w:val="clear"/>
            <w:tcMar>
              <w:top w:w="0" w:type="dxa"/>
            </w:tcMar>
            <w:vAlign w:val="center"/>
          </w:tcPr>
          <w:p>
            <w:pPr>
              <w:pStyle w:val="TableContents"/>
              <w:bidi w:val="0"/>
              <w:spacing w:before="0" w:after="283"/>
              <w:jc w:val="left"/>
              <w:rPr/>
            </w:pPr>
            <w:r>
              <w:rPr/>
              <w:t> </w:t>
            </w:r>
          </w:p>
        </w:tc>
        <w:tc>
          <w:tcPr>
            <w:tcW w:w="111" w:type="dxa"/>
            <w:tcBorders/>
            <w:shd w:fill="FFFFFF" w:val="clear"/>
            <w:tcMar>
              <w:top w:w="0" w:type="dxa"/>
            </w:tcMar>
            <w:vAlign w:val="center"/>
          </w:tcPr>
          <w:p>
            <w:pPr>
              <w:pStyle w:val="TableContents"/>
              <w:bidi w:val="0"/>
              <w:spacing w:before="0" w:after="283"/>
              <w:jc w:val="left"/>
              <w:rPr/>
            </w:pPr>
            <w:r>
              <w:rPr/>
              <w:t> </w:t>
            </w:r>
          </w:p>
        </w:tc>
        <w:tc>
          <w:tcPr>
            <w:tcW w:w="91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(0.89</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pPr>
            <w:r>
              <w:rPr/>
              <w:t> </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101,742</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pPr>
            <w:r>
              <w:rPr/>
              <w:t> </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115,096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72" w:type="dxa"/>
            <w:tcBorders/>
            <w:shd w:fill="CCEEFF" w:val="clear"/>
            <w:tcMar>
              <w:top w:w="0" w:type="dxa"/>
            </w:tcMar>
            <w:vAlign w:val="center"/>
          </w:tcPr>
          <w:p>
            <w:pPr>
              <w:pStyle w:val="TableContents"/>
              <w:bidi w:val="0"/>
              <w:spacing w:before="0" w:after="283"/>
              <w:jc w:val="left"/>
              <w:rPr/>
            </w:pPr>
            <w:r>
              <w:rPr/>
              <w:t> </w:t>
            </w:r>
          </w:p>
        </w:tc>
        <w:tc>
          <w:tcPr>
            <w:tcW w:w="95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108,626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6" w:type="dxa"/>
            <w:tcBorders/>
            <w:shd w:fill="CCEEFF" w:val="clear"/>
            <w:tcMar>
              <w:top w:w="0" w:type="dxa"/>
            </w:tcMar>
            <w:vAlign w:val="center"/>
          </w:tcPr>
          <w:p>
            <w:pPr>
              <w:pStyle w:val="TableContents"/>
              <w:bidi w:val="0"/>
              <w:spacing w:before="0" w:after="283"/>
              <w:jc w:val="left"/>
              <w:rPr/>
            </w:pPr>
            <w:r>
              <w:rPr/>
              <w:t> </w:t>
            </w:r>
          </w:p>
        </w:tc>
        <w:tc>
          <w:tcPr>
            <w:tcW w:w="108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(6,884</w:t>
            </w:r>
          </w:p>
        </w:tc>
        <w:tc>
          <w:tcPr>
            <w:tcW w:w="148"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CCEEFF" w:val="clear"/>
            <w:tcMar>
              <w:top w:w="0" w:type="dxa"/>
            </w:tcMar>
            <w:vAlign w:val="center"/>
          </w:tcPr>
          <w:p>
            <w:pPr>
              <w:pStyle w:val="TableContents"/>
              <w:bidi w:val="0"/>
              <w:spacing w:before="0" w:after="283"/>
              <w:jc w:val="left"/>
              <w:rPr/>
            </w:pPr>
            <w:r>
              <w:rPr/>
              <w:t> </w:t>
            </w:r>
          </w:p>
        </w:tc>
        <w:tc>
          <w:tcPr>
            <w:tcW w:w="111" w:type="dxa"/>
            <w:tcBorders/>
            <w:shd w:fill="CCEEFF" w:val="clear"/>
            <w:tcMar>
              <w:top w:w="0" w:type="dxa"/>
            </w:tcMar>
            <w:vAlign w:val="center"/>
          </w:tcPr>
          <w:p>
            <w:pPr>
              <w:pStyle w:val="TableContents"/>
              <w:bidi w:val="0"/>
              <w:spacing w:before="0" w:after="283"/>
              <w:jc w:val="left"/>
              <w:rPr/>
            </w:pPr>
            <w:r>
              <w:rPr/>
              <w:t> </w:t>
            </w:r>
          </w:p>
        </w:tc>
        <w:tc>
          <w:tcPr>
            <w:tcW w:w="91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(6.34</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115,511</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117,603</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72" w:type="dxa"/>
            <w:tcBorders/>
            <w:shd w:fill="FFFFFF" w:val="clear"/>
            <w:tcMar>
              <w:top w:w="0" w:type="dxa"/>
            </w:tcMar>
            <w:vAlign w:val="center"/>
          </w:tcPr>
          <w:p>
            <w:pPr>
              <w:pStyle w:val="TableContents"/>
              <w:bidi w:val="0"/>
              <w:spacing w:before="0" w:after="283"/>
              <w:jc w:val="left"/>
              <w:rPr/>
            </w:pPr>
            <w:r>
              <w:rPr/>
              <w:t> </w:t>
            </w:r>
          </w:p>
        </w:tc>
        <w:tc>
          <w:tcPr>
            <w:tcW w:w="95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116,346</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06" w:type="dxa"/>
            <w:tcBorders/>
            <w:shd w:fill="FFFFFF" w:val="clear"/>
            <w:tcMar>
              <w:top w:w="0" w:type="dxa"/>
            </w:tcMar>
            <w:vAlign w:val="center"/>
          </w:tcPr>
          <w:p>
            <w:pPr>
              <w:pStyle w:val="TableContents"/>
              <w:bidi w:val="0"/>
              <w:spacing w:before="0" w:after="283"/>
              <w:jc w:val="left"/>
              <w:rPr/>
            </w:pPr>
            <w:r>
              <w:rPr/>
              <w:t> </w:t>
            </w:r>
          </w:p>
        </w:tc>
        <w:tc>
          <w:tcPr>
            <w:tcW w:w="108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(835</w:t>
            </w:r>
          </w:p>
        </w:tc>
        <w:tc>
          <w:tcPr>
            <w:tcW w:w="148"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1" w:type="dxa"/>
            <w:tcBorders/>
            <w:shd w:fill="FFFFFF" w:val="clear"/>
            <w:tcMar>
              <w:top w:w="0" w:type="dxa"/>
            </w:tcMar>
            <w:vAlign w:val="center"/>
          </w:tcPr>
          <w:p>
            <w:pPr>
              <w:pStyle w:val="TableContents"/>
              <w:bidi w:val="0"/>
              <w:spacing w:before="0" w:after="283"/>
              <w:jc w:val="left"/>
              <w:rPr/>
            </w:pPr>
            <w:r>
              <w:rPr/>
              <w:t> </w:t>
            </w:r>
          </w:p>
        </w:tc>
        <w:tc>
          <w:tcPr>
            <w:tcW w:w="111" w:type="dxa"/>
            <w:tcBorders/>
            <w:shd w:fill="FFFFFF" w:val="clear"/>
            <w:tcMar>
              <w:top w:w="0" w:type="dxa"/>
            </w:tcMar>
            <w:vAlign w:val="center"/>
          </w:tcPr>
          <w:p>
            <w:pPr>
              <w:pStyle w:val="TableContents"/>
              <w:bidi w:val="0"/>
              <w:spacing w:before="0" w:after="283"/>
              <w:jc w:val="left"/>
              <w:rPr/>
            </w:pPr>
            <w:r>
              <w:rPr/>
              <w:t> </w:t>
            </w:r>
          </w:p>
        </w:tc>
        <w:tc>
          <w:tcPr>
            <w:tcW w:w="91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(0.72</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Liquidity is our ability to turn non-cash assets into cash to fund our operations and to meet our obligations in both the short-term (one year or less) and long-term (greater than one year). Our material cash requirements include our operating expenses, such as payroll for our employees, our professional fees such as legal and accounting, servicing our debt obligations, such as our trust preferred debt (see Note 8 to the consolidated financial statements for more information related to the timing of principal payments and maturities of our long-term debt.), the purchase of additional investments, the repayment of  principal and interest on repurchase agreements, and the fulfillment of margin calls. We have both internal and external sources of liquidity. Our material unused sources of liquidity include cash balances, unencumbered assets and our ability to sell encumbered assets to raise cash.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Internal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internal sources of liquidity include our cash balances, as well as the collection of management fees and other fees related to our advisory services segments. payments of principal and interest we receive on our MBS portfolio and dividends we receive on our investment in Orchid common stock. We also possess unencumbered RMBS assets and the ability to liquidate our encumbered security holdings.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While our investment portfolio employs a much lower portion of our capital, the management of the portfolio relies on a hedging strategy that typically involves taking short positions in T-Note and SOFR futures, "to-be-announced" ("TBA") securities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through margin calls to offset the futures or TBA short positions related margin calls. If this were to occur in sufficient magnitude, the loss of liquidity might force us to reduce the size of the levered portfolio, pledge additional structured securities to raise funds or risk operating the portfolio with less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External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external sources of liquidity are our ability to (i) borrow under master repurchase agreements and (ii) use the TBA security market.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- 37 -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future periods, we expect to continue to finance our activities through repurchase agreements and through revenues from our advisory services business. As of June 30, 2026, we had cash and cash equivalents of $6.5 million. We generated cash flows of $5.3 million from principal and interest payments on our MBS portfolio and had average repurchase agreements outstanding of $32.7 million during the six months ended June 30, 2026. In addition, during the six months ended June 30, 2026, we received approximately $10.2 million in management fees and expense reimbursements as manager of Orchid and approximately $0.4 million in dividends from our investment in Orchid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At June 30, 2026, we had no material commitments for capital expenditures.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b/>
          <w:i/>
          <w:caps w:val="false"/>
          <w:smallCaps w:val="false"/>
          <w:sz w:val="20"/>
        </w:rPr>
      </w:pPr>
      <w:r>
        <w:rPr>
          <w:rFonts w:ascii="Times New Roman" w:hAnsi="Times New Roman"/>
          <w:b/>
          <w:i/>
          <w:caps w:val="false"/>
          <w:smallCaps w:val="false"/>
          <w:sz w:val="20"/>
        </w:rPr>
        <w:t>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Orchid reported net income for the second quarter of 2026 of $89.2 million, or $0.44 per share and its shareholders equity increased from $1.392 billion to $1.441 billion. During the second quarter, market conditions were generally favorable for levered MBS investors. Orchid reported gains on hedge instruments of $62.4 million and realized and unrealized losses on its MBS portfolio of $26.4 million, which together resulted in gains of $36.0 million. Orchid is obligated to reimburse Bimini for direct expenses paid on its behalf as well as Orchid’s pro-rata share of overhead expenses as defined in the management agreement. As a stockholder of Orchid, we will also continue to share in distributions, if any, paid by Orchid to its stockholders. Our operating results are also impacted by changes in the market value of our holdings of Orchid common shares, although these market value changes do not impact our cash flow from Orchid.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Tom Johnson Investment Management,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40"/>
        <w:jc w:val="left"/>
        <w:rPr>
          <w:rFonts w:ascii="Times New Roman" w:hAnsi="Times New Roman"/>
          <w:caps w:val="false"/>
          <w:smallCaps w:val="false"/>
          <w:sz w:val="20"/>
        </w:rPr>
      </w:pPr>
      <w:r>
        <w:rPr>
          <w:rFonts w:ascii="Times New Roman" w:hAnsi="Times New Roman"/>
          <w:caps w:val="false"/>
          <w:smallCaps w:val="false"/>
          <w:sz w:val="20"/>
        </w:rPr>
        <w:t>The asset management segment of TJIM reported a net loss for the second quarter of $0.3 million, net of allocated expenses of $0.9 million, on management fee revenues of $1.7 million.  Total assets under management have increased from $1.65 billion at December 31, 2025 and $1.63 billion at March 31, 2026, to $1.73 billion at June 30, 2026.  Advisory fee revenues for the second quarter were $1.73 million versus $1.58 million for the first quarter of 2026. Advisory fee revenue for the first six months of 2026 were $3.31 million, versus $3.02 million for the first six months of 2025. Note that, due to the closing date of the TJIM Acquisition of April 1, 2026, all figures relating to the results of operations of TJIM for periods prior to the second quarter of 2026 are unaudited and are not included in the consolidated results of the Company. Such information is discussed solely to provide investors with additional context regarding the historical operations of TJIM. The information is not intended to represent, and should not be considered indicative of, the results of operations or financial position that would have been achieved had the TJIM Acquisition occurred on an earlier date, nor is it necessarily indicative of the future results of the combined company.</w:t>
      </w:r>
    </w:p>
    <w:p>
      <w:pPr>
        <w:pStyle w:val="TextBody"/>
        <w:bidi w:val="0"/>
        <w:spacing w:before="0" w:after="0"/>
        <w:ind w:left="0" w:right="0" w:firstLine="34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Economic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second quarter of 2026 was pivotal in many ways.  The Fed transitioned from an easing bias to a hiking bias and a new Fed Chairman with a strong anti-inflation disposition was seated. Meanwhile, the war between the United States, Israel and Iran (the “Iran War”) appeared to be on course to wind down by June before conditions deteriorated materially. A near-term resolution now appears unlikely, allowing energy related inflationary pressures to persist.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- 38 -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May 22, 2026, Kevin Warsh became the new Chairman of the Fed, replacing Jerome Powell. The new Chairman brings an elevated level of vigor in addressing the persistently high inflation that has exceeded the Fed’s 2% target for approximately 5 years.  Even before Chairman Warsh assumed his new role, the FOMC appeared to be shifting its bias away from additional easing toward hiking.  At the Fed’s meeting on April 29, 2026, there were three votes in favor of signaling a more two-sided characterization of the Fed’s future interest rate decisions.  At Chairman Warsh’s first press conference on June 17, 2026, all doubt regarding the bias of the FOMC was put to rest.  The new Chairman was very stern in declaring his highest priority was bringing inflation back to the Fed’s target.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Iran War appeared to be nearing conclusion when a ceasefire was announced on April 8, 2026, and a formal Memorandum of Understanding (“MOU”) was signed by the parties on June 17, 2026.  Shipping traffic through the Strait of Hormuz (“SOH”) was slowly returning to pre-war levels, and market volatility materially subsided. However, shortly after the MOU was signed, hostilities between the parties began to escalate and shipping traffic through the SOH has slowed significantly again.  Commodity prices have rebounded in turn and are slowly heading back toward the peak levels reached in the early days of the war. At this point, there is no obvious path to an end to the war, as the two crucial points of disagreement – control over the SOH and the status of Iran’s nuclear capability – seem unlikely to be resolved diplomatically.  Unless and until the war pivots again toward a peaceful resolution, upward pressure on commodity prices seems likely to persist, adding to already elevated levels of inflation in the United States and globally.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Developments in the Iran War have only exacerbated problems for the new Fed Chair and the FOMC.  The economy in the United States has proven to be very resilient in the face of inflation, particularly elevated commodity prices and disruptions to critical supply channels.  At the beginning of 2026, the labor market appeared to be stable, yet at low levels of job growth.  During the second quarter of 2026, the labor market appeared to pivot as job growth rebounded.  Consumer spending has also remained robust. If the war remains unresolved for an extended period, the Fed will likely need to act and increase the Fed Funds rate. Data for June 2026 released in July – namely the jobs report and the consumer price index and producer price index – were all weak.  As a result, market pricing of Fed hikes over the balance of 2026 and into 2027 has subsided.  Unless this data remains weak, the market is likely to see higher funding levels.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Consistent with the pivot in the outlook for Fed policy during the quarter, the nominal rates curve moved higher and flatter during the second quarter of 2026.  Specifically, the yield on the 2-year U.S. Treasury note increased from 3.796% at March 31, 2026 to 4.175% at June 30, 2026, while the yield on the 10-year U.S. Treasury note increased from 4.319% at March 31, 2026 to 4.466% at June 30, 2026. As a result, the curve between these two points flattened by approximately 9 basis points. Most proxies for the shape of the rates curve show comparable – or greater – levels of flattening during the second quarter of 2026. The primary impetus for the movements in the nominal U.S. Treasury curve and the swap curve was the pivot in market expectations for Fed Funds rate going forward.  At March 31, 2026, market expectations for the Fed Funds rate (based on Fed Funds futures contracts) were for slightly more than one rate cut by year end and two cuts by mid-2027.  By the end of the second quarter of 2026, Fed Funds futures implied nearly two hikes by year-end and in excess of three hikes by the end of first quarter of 2027.  Current pricing, reflecting the soft June 2026 data released in early July, is unchanged in terms of year-end levels but now reflects very modest cuts in early 2027.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Fed ended its quantitative tightening program, which reduced its balance sheet via the maturation of its holdings, and began reinvesting them into additional U.S. Treasury holdings on December 1, 2025.  Run-off from the Agency RMBS holdings is now directed toward purchasing U.S. Treasuries.  The Fed also announced its intention, via Reserve Management Purchases (“RMPs”), to grow its balance sheet over time to maintain a stable relationship between the size of its balance sheet and the economy. These steps resulted in increased purchases of U.S. Treasuries by the Fed. When the RMP program was first introduced, U.S. Treasury purchases were $40 billion per month, although they have declined since and are currently $10 billion per month. However, even at the lower level of purchases, the program has been successful at taking pressure off of the overnight funding markets, as market participants such as money-market funds had fewer options to deploy their liquidity and therefore increased the pool of available funds for the overnight repurchase agreement (“repo”) funding markets.  As a result, funding levels available to the Company in the repo markets – typically expressed as a spread over SOFR – have remained stable during the second quarter, continuing the trend we saw during the first quarter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- 39 -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The Agency MBS Market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rate volatility spiked meaningfully after the outbreak of the Iran War, consistent with the increase in interest rates across the curve.  Volatility peaked just before the first quarter of 2026 ended, with the Merrill Lynch Option Volatility Estimate Index reaching 115.02.  Following the announcement of a ceasefire on April 8, 2026, rate volatility dropped nearly to pre-war levels by mid-April and remained relatively stable throughout the balance of the second quarter. Implied interest rate volatility has remained range-bound at low levels since the end of the second quarter. As is typically the case, subdued levels of implied interest rate volatility and range-bound interest rates are conducive to Agency RMBS market performance, and the sector had a positive quarter in both absolute and excess returns. For the second quarter of 2026, the Agency RMBS sector generated a total return of 0.6% and 0.5% versus comparable duration swaps. By comparison, the high-yield and investment-grade corporate bond sectors produced returns of 2.5% and 1.4%, respectively, and excess returns of 2.4% and 1.5%, respectively, versus comparable duration swaps over the same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Within Agency RMBS for the second quarter of 2026, conventional 30-year mortgages generated a total return of 0.6%, 15-year mortgages generated a total return of 0.1% and Ginnie Mae 30-year mortgages generated a total return of 0.7%.  Versus comparable duration swaps, the returns were 0.6%, 0.0% and 0.6% for 30-year conventional, 15-year conventional and Ginnie Mae 30-year mortgages, respectively.  The Company invests predominantly in 30-year conventional mortgages.  Returns with the 30-year stack were lowest for lower coupons and increased for progressively higher coupons, with returns for coupons 4% and lower between 0.2% and 0.5%, and above 1.0% for coupons of 5% and higher. This is consistent with higher interest rates, lower prepayment expectations, and the durations of the various coupons inversely related to coupon – the lower the coupon the higher the duration, and visa-versa. Conversely, excess returns were best for middle coupons – between the 4.5% and 6.0% coupons, with lower and higher coupons lagging. Excess returns for middle coupons were between 0.7% and 1.2%, while the lower and higher coupons ranged between 0.3% and 0.8%.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Recent Legislative and Regulatory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response to the deterioration in the markets for U.S. Treasuries, Agency RMBS and other mortgage and fixed income markets resulting from the impacts of the COVID-19 pandemic, the Fed implemented a program of quantitative easing. Through November of 2021, the Fed was committed to purchasing $80 billion of U.S. Treasuries and $40 billion of Agency RMBS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RMBS each month. On September 21, 2022, the FOMC announced the Fed’s decision to continue reducing its balance sheet by a maximum of $60 billion of U.S. Treasuries and $35 billion of Agency RMBS per month. On May 1, 2024, the FOMC announced the Fed’s decision to reduce its balance sheet by a maximum of $25 billion of U.S. Treasury securities and remove the cap on Agency RMBS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kept the balance sheet reduction for Agency RMBS below $20 billion per month throughout 2024 and 2025. On December 1, 2025, the Fed ended quantitative tightening and began reinvesting all proceeds from maturing Agency RMBS up to a $35 billion per month cap in U.S. Treasuries and announced that it would begin buying an additional $40 billion per month of U.S. Treasuries via RMPs in order to maintain an ample level of reserves on an ongoing basis. RMPs were reduced to $25 billion per month in April 2026, and further reduced to $10 billion per month in May 2026, As of June 30, 2026, the Fed had reduced its balance sheet for Agency RMBS by approximately $792 billion from the peak of approximately $2.7 trillion to approximately $1.9 trillion, shedding approximately 58% of the Agency RMBS added during pandemic quantitative easing and representing the lowest level since August 2020.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- 40 -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and early 2026, there was some speculation in the market regarding progress towards an end to the conservatorship, including through an initial public offering, but no definitive action has been taken and many analysts believe additional capital is needed before the Enterprises can safely exit conservatorship.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27, 2023, the federal banking regulators, including the Office of the Comptroller of the Currency, (the “OCC”) the FDIC and the Fed, jointly issued a proposed rule that would revise large bank capital requirements (the “2023 Basel III Endgame”).  The 2023 Basel III Endgame, if implemented as originally proposed, would have significantly increased the credit weight risk for balance-sheet mortgages and for Agency RMBS sold to the GSEs, which could have disincentivized banks from originating mortgages for sale to the GSEs and impacted pricing in the Agency RMBS markets. The comment period for the 2023 Basel III Endgame closed on January 16, 2024, and the proposed rule was met with strong objections from the banking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November 25, 2025, the Fed, OCC and FDIC jointly adopted a final rule to revise the enhanced supplementary leverage ratio for globally systemically important bank holding companies (“GSIBs”). The rule, which became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March 19, 2026, the OCC, FDIC and the Fed rescinded the 2023 Basel III Endgame proposal and concurrently issued three revised notices of proposed rulemaking. The three proposals include (i) a revised Basel III Endgame proposal that would apply an expanded risk-based approach to Category I and Category II banking organizations, thus narrowing the mandatory scope from the 2023 proposal, with all other banking organizations permitted to opt in; (ii) a revised standardized approach proposal that would reduce risk weights for traditional lending activities for banking organizations not subject to the expanded risk-based approach; and (iii) a revised GSIB capital surcharge proposal. The OCC, FDIC, and the Fed estimate that the revised proposals would decrease aggregate common equity tier 1 capital requirements by approximately 4.8% for Category I and Category II banking organizations, in contrast to the significant capital increases that would have resulted under the 2023 Basel III Endgame. Additionally, the revised proposal would eliminate the requirement to deduct mortgage servicing assets from common equity tier 1 capital, instead assigning a 250% risk weight, which is designed to promote mortgage origination and servicing by banking organizations. The Fed voted 6-to-1 to advance all three proposals and the FDIC board voted unanimously in favor of the revised Basel III Endgame and standardized approach proposals. The comment period for the revised proposals closed on June 18, 2026, with the Fed indicating that they hope to release the final rule by the end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scope and nature of the actions the U.S. government or the Fed will ultimately undertake are unknown and will continue to evolve.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Regulatory developments, movements in interest rates and prepayment rates affect us in many ways,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- 41 -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borrowing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leverage our PT RMBS and structured Agency RMBS through the use of short-term repurchase agreement transactions. The interest rates on our debt are determined by the short term interest rate markets. Increases in the Fed Funds rate 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- 42 -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 respect to the markets in which the Company derives its revenues and profits from, prior to the second quarter of 2026, Orchid and Company invested exclusively in Agency MBS securities and applied leverage utilizing repurchase agreement funding. The primary drivers of the performance of these assets – both absolute performance and performance relative to hedges – are interest rates, their impact on both asset prices and the level of prepayments, interest rate volatility, particularly the level of implied volatility in interest rate swaptions and various interest rate derivatives, and our funding levels.  Accordingly, we have had, and continue to be significantly exposed to interest rates, and our performance remains driven by our ability to select assets, manage our leverage, and the effectiveness of our hedging strategy. However, as a result of the acquisition of TJIM the Company now derives revenues and profits from the equity market. Accordingly, our focus will broaden to encompass developments in the equity market going forward.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40" w:right="0" w:hanging="180"/>
        <w:jc w:val="left"/>
        <w:rPr>
          <w:rFonts w:ascii="Times New Roman" w:hAnsi="Times New Roman"/>
          <w:i/>
          <w:caps w:val="false"/>
          <w:smallCaps w:val="false"/>
          <w:sz w:val="20"/>
        </w:rPr>
      </w:pPr>
      <w:r>
        <w:rPr>
          <w:rFonts w:ascii="Times New Roman" w:hAnsi="Times New Roman"/>
          <w:i/>
          <w:caps w:val="false"/>
          <w:smallCaps w:val="false"/>
          <w:sz w:val="20"/>
        </w:rPr>
        <w:t>Domestic Equity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U.S. equity market delivered an exceptionally strong rebound in the second quarter of 2026, recovering from a weaker first quarter and finishing near record highs. The rally was driven by renewed enthusiasm for artificial intelligence ("AI"), stronger-than-expected corporate earnings, easing geopolitical concerns late in the quarter, and resilient economic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Performance of the major indexes: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S&amp;P 500:</w:t>
            </w:r>
            <w:r>
              <w:rPr>
                <w:rFonts w:ascii="Times New Roman" w:hAnsi="Times New Roman"/>
                <w:caps w:val="false"/>
                <w:smallCaps w:val="false"/>
                <w:sz w:val="20"/>
              </w:rPr>
              <w:t> Gained approximately 15% during the quarter, marking one of its strongest quarterly performances in years and bringing its year-to-date gain to roughly 10%.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Nasdaq Composite:</w:t>
            </w:r>
            <w:r>
              <w:rPr>
                <w:rFonts w:ascii="Times New Roman" w:hAnsi="Times New Roman"/>
                <w:caps w:val="false"/>
                <w:smallCaps w:val="false"/>
                <w:sz w:val="20"/>
              </w:rPr>
              <w:t> Significantly outperformed broader markets as technology and semiconductor stocks rallied sharply, posting one of its best quarters since 2020.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Dow Jones Industrial Average:</w:t>
            </w:r>
            <w:r>
              <w:rPr>
                <w:rFonts w:ascii="Times New Roman" w:hAnsi="Times New Roman"/>
                <w:caps w:val="false"/>
                <w:smallCaps w:val="false"/>
                <w:sz w:val="20"/>
              </w:rPr>
              <w:t> Also advanced solidly, though it lagged the technology-heavy Nasdaq because of its lower exposure to high-growth AI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Key drivers of the rally: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AI investment boom:</w:t>
            </w:r>
            <w:r>
              <w:rPr>
                <w:rFonts w:ascii="Times New Roman" w:hAnsi="Times New Roman"/>
                <w:caps w:val="false"/>
                <w:smallCaps w:val="false"/>
                <w:sz w:val="20"/>
              </w:rPr>
              <w:t> Continued heavy investment in artificial intelligence fueled exceptional gains in semiconductor manufacturers and other AI-related companies. Semiconductor stocks rose dramatically during the quarter, making technology the best-performing sector.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Strong corporate earnings:</w:t>
            </w:r>
            <w:r>
              <w:rPr>
                <w:rFonts w:ascii="Times New Roman" w:hAnsi="Times New Roman"/>
                <w:caps w:val="false"/>
                <w:smallCaps w:val="false"/>
                <w:sz w:val="20"/>
              </w:rPr>
              <w:t> Companies generally exceeded analysts' expectations. Earnings growth broadened beyond a handful of mega-cap technology firms, supporting the market's advance.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Improving geopolitical backdrop:</w:t>
            </w:r>
            <w:r>
              <w:rPr>
                <w:rFonts w:ascii="Times New Roman" w:hAnsi="Times New Roman"/>
                <w:caps w:val="false"/>
                <w:smallCaps w:val="false"/>
                <w:sz w:val="20"/>
              </w:rPr>
              <w:t> Oil prices fell after tensions in the Middle East eased toward the end of the quarter, reducing inflation concerns and improving investor sentiment.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Resilient U.S. economy:</w:t>
            </w:r>
            <w:r>
              <w:rPr>
                <w:rFonts w:ascii="Times New Roman" w:hAnsi="Times New Roman"/>
                <w:caps w:val="false"/>
                <w:smallCaps w:val="false"/>
                <w:sz w:val="20"/>
              </w:rPr>
              <w:t> Continued economic expansion and healthy consumer spending reassured investors despite persistent inflation and elevated interest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Sector performance:</w:t>
      </w:r>
    </w:p>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60"/>
        <w:gridCol w:w="170"/>
        <w:gridCol w:w="7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Technology</w:t>
            </w:r>
            <w:r>
              <w:rPr>
                <w:rFonts w:ascii="Times New Roman" w:hAnsi="Times New Roman"/>
                <w:caps w:val="false"/>
                <w:smallCaps w:val="false"/>
                <w:sz w:val="20"/>
              </w:rPr>
              <w:t> was the clear leader, propelled by AI-related spending and strong earnings.</w:t>
            </w:r>
          </w:p>
        </w:tc>
      </w:tr>
    </w:tbl>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Semiconductors</w:t>
            </w:r>
            <w:r>
              <w:rPr>
                <w:rFonts w:ascii="Times New Roman" w:hAnsi="Times New Roman"/>
                <w:caps w:val="false"/>
                <w:smallCaps w:val="false"/>
                <w:sz w:val="20"/>
              </w:rPr>
              <w:t> were among the strongest-performing industries, reflecting continued demand for AI infrastructure.</w:t>
            </w:r>
          </w:p>
        </w:tc>
      </w:tr>
    </w:tbl>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Energy</w:t>
            </w:r>
            <w:r>
              <w:rPr>
                <w:rFonts w:ascii="Times New Roman" w:hAnsi="Times New Roman"/>
                <w:caps w:val="false"/>
                <w:smallCaps w:val="false"/>
                <w:sz w:val="20"/>
              </w:rPr>
              <w:t> underperformed as crude oil prices declined following geopolitical de-escalation.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April 1, 2026, the Company completed the acquisition of an 80% ownership stake in TJIM.  As such, the results of the Company’s operations and our focus in our public disclosures going forward will be impacted by factors other than just the fixed income markets and the Agency MBS market, although the MBS market will still be a significant factor. Beginning with the second quarter of 2026 our focus has expanded to include factors impacting the domestic equity markets as well as fixed income markets other than the Agency MBS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we entered 2026, interest rates had been range-bound for more than 12 months, but the range was broken during the first quarter of 2026 as a result of the Iran War. After a brief respite in the conflict, rates moved higher once again as prospects for a resolution dimmed and a new Fed Chairman, Kevin Warsh, took control of the Fed, immediately expressing his strong conviction in ending the five-year period of inflation running above the Fed’s 2% target.  Interest rate volatility, both realized and implied in interest rate options, has remained subdued outside of the temporary spike at the onset of the Iran War.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- 43 -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At the outset of 2026, there was uncertainty about how the risks facing the economy would ultimately drive Fed policy and the level of interest rates, with resulting impacts on risk assets and Agency RMBS.  Inflation was elevated, but risks to the growth outlook were clearly present, creating a quandary for policy makers. This does not appear to be the case now.  Growth has proven to be remarkably resilient, as has the labor market, and the growth of the economy is not a pressing concern for policy makers or markets.  Inflation, however, remains well above the Fed’s target and the Iran War seems likely to persist, representing a continued source of commodity inflation. Data released for June in early July reflected a welcome decrease in the various inflation measures, but considerable doubt remains regarding the sustainability of these readings. Looking forward, the Iran War continues to be a dominant force driving the performance of all markets.  At this point, it is unclear what the ultimate outcome of the war will be or when it will end. As for the economy and monetary policy, the outlook is no longer uncertain, as the path of inflation alone is likely to drive monetary policy and interest rate levels in the United States. Both Orchid and the Company have maintained modest levels of leverage for the past several quarters and are likely to continue to do so given the prevailing market uncertainty.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domestic equity markets, the second quarter of 2026 was characterized by a broad and powerful recovery in U.S. equities. Large-cap stocks reached or approached record highs, technology once again led the market, and strong corporate fundamentals reinforced investor confidence. While optimism about AI remained the dominant theme, the rally also became more broad-based as improving earnings and easing macroeconomic concerns supported gains across much of the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Despite the strong gains, investors continued to monitor several risks, with overlap in risks facing the Agency RMBS market:</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Persistent inflation and the possibility of further Federal Reserve tightening.</w:t>
            </w:r>
          </w:p>
        </w:tc>
      </w:tr>
    </w:tbl>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Elevated equity valuations following the rapid rally.</w:t>
            </w:r>
          </w:p>
        </w:tc>
      </w:tr>
    </w:tbl>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Questions about whether AI-related spending and earnings growth could continue at the same pace.</w:t>
            </w:r>
          </w:p>
        </w:tc>
      </w:tr>
    </w:tbl>
    <w:tbl>
      <w:tblPr>
        <w:tblW w:w="7270" w:type="dxa"/>
        <w:jc w:val="left"/>
        <w:tblInd w:w="0" w:type="dxa"/>
        <w:tblLayout w:type="fixed"/>
        <w:tblCellMar>
          <w:top w:w="0" w:type="dxa"/>
          <w:left w:w="0" w:type="dxa"/>
          <w:bottom w:w="0" w:type="dxa"/>
          <w:right w:w="0" w:type="dxa"/>
        </w:tblCellMar>
      </w:tblPr>
      <w:tblGrid>
        <w:gridCol w:w="60"/>
        <w:gridCol w:w="170"/>
        <w:gridCol w:w="7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Ongoing geopolitical uncertainty that could affect energy prices and market volatility.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GAAP, which requires our management to make some complex and subjective decisions, estimates and assessments. Our most critical accounting policies involve decisions, estimates and assessments which can have a material impact on reported assets, liabilities, revenues and expenses, and these estimates can change each reporting period. There have been no changes to the processes used to determine our critical accounting estimates as discussed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qqd"/>
      <w:bookmarkEnd w:id="11"/>
      <w:r>
        <w:rPr>
          <w:rFonts w:ascii="Times New Roman" w:hAnsi="Times New Roman"/>
          <w:b/>
          <w:caps w:val="false"/>
          <w:smallCaps w:val="false"/>
          <w:sz w:val="20"/>
        </w:rPr>
        <w:t xml:space="preserve">ITEM 3.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a smaller reporting company as defined by Rule 12b-2 of the Exchange Act, we are not required to provide disclosure pursuant to this Item. However, we have elected to include much of the information in Item 7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control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Securities Exchange Act of 1934 (the “Exchange Act”). Based on this evaluation, the CEO and CFO concluded our disclosure controls and procedures, as designed and implemented, were effective as of the evaluation date (1) in ensuring that information regarding the Company and its subsidiaries is accumulated and communicated to our management, including our CEO and CFO, by our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- 44 -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material changes in the Company’s internal control over financial reporting that occurred during the Company’s most recent fiscal quarter that have materially affected, or are reasonably likely to materially affect, the Company’s internal control over financial reporting. There were changes in the Company’s internal control over financial reporting that occurred during the Company’s most recent fiscal quarter related to the acquisition of an 80% ownership stake in TJIM. These changes primarily relate to the recording of advisory fee income and are not reasonably likely to materially affect, the Company’s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- 45 -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previously disclosed, in April 2020 and November 2021, the Company received demands for payment from Citigroup, Inc. related to the indemnification provisions of various mortgage loan purchase agreements entered into prior to 2007. As of June 30, 2026, no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not party to any other material pending legal proceedings as described in Item 103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risk"/>
      <w:bookmarkEnd w:id="1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risk factors set forth below are intended to address new risks arising from the Company's acquisition of TJIM and do not purport to be a comprehensive update of all risks facing the Company. This section is a supplement to, and should be read in conjunction with, the risk factors disclosed in the Company's Annual Report on Form 10-K for the fiscal year ended December 31, 2025 (the "Annual Report"). The risk factors included in the Annual Report have not been updated to reflect developments occurring subsequent to the filing of the Annual Report, and investors should carefully consider the risk factors in the Annual Report in addition to the risk factors set forth below. The inclusion of risk factors in this Form 10-Q should not be taken as an indication that the Company intends to update or supplement the risk factors disclosed in the Annual Report in future Quarterly Reports on Form 10-Q.</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Our revenues are highly dependent on the level and performance of assets under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substantial portion of our revenues is derived from management fees calculated as a percentage of assets under management (“AUM”). Market declines, increased volatility, changes in interest rates, geopolitical events, inflationary pressures, economic downturns, or poor investment performance may reduce the value of client assets and decrease our revenues. In addition, client withdrawals, redemptions, or reallocations could materially reduce AUM and adversely affect our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We are subject to extensive regulation as an SEC-registered investment adviser.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investment advisory operations are subject to extensive federal and state regulation, including regulation by the SEC under the Investment Advisers Act of 1940. Compliance with these laws and regulations imposes significant operational, compliance, legal, and administrative costs. Failure to comply with applicable laws, rules, or fiduciary obligations could result in:</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investigations and examinations;</w:t>
            </w:r>
          </w:p>
        </w:tc>
      </w:tr>
    </w:tbl>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enforcement actions;</w:t>
            </w:r>
          </w:p>
        </w:tc>
      </w:tr>
    </w:tbl>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fines and penalties;</w:t>
            </w:r>
          </w:p>
        </w:tc>
      </w:tr>
    </w:tbl>
    <w:tbl>
      <w:tblPr>
        <w:tblW w:w="1000" w:type="dxa"/>
        <w:jc w:val="left"/>
        <w:tblInd w:w="0" w:type="dxa"/>
        <w:tblLayout w:type="fixed"/>
        <w:tblCellMar>
          <w:top w:w="0" w:type="dxa"/>
          <w:left w:w="0" w:type="dxa"/>
          <w:bottom w:w="0" w:type="dxa"/>
          <w:right w:w="0" w:type="dxa"/>
        </w:tblCellMar>
      </w:tblPr>
      <w:tblGrid>
        <w:gridCol w:w="60"/>
        <w:gridCol w:w="170"/>
        <w:gridCol w:w="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censures;</w:t>
            </w:r>
          </w:p>
        </w:tc>
      </w:tr>
    </w:tbl>
    <w:tbl>
      <w:tblPr>
        <w:tblW w:w="2980" w:type="dxa"/>
        <w:jc w:val="left"/>
        <w:tblInd w:w="0" w:type="dxa"/>
        <w:tblLayout w:type="fixed"/>
        <w:tblCellMar>
          <w:top w:w="0" w:type="dxa"/>
          <w:left w:w="0" w:type="dxa"/>
          <w:bottom w:w="0" w:type="dxa"/>
          <w:right w:w="0" w:type="dxa"/>
        </w:tblCellMar>
      </w:tblPr>
      <w:tblGrid>
        <w:gridCol w:w="60"/>
        <w:gridCol w:w="170"/>
        <w:gridCol w:w="2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limitations on business activities;</w:t>
            </w:r>
          </w:p>
        </w:tc>
      </w:tr>
    </w:tbl>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suspension or revocation of registrations; and</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reputational harm.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Regulatory requirements may continue to increase, including in areas involving cybersecurity, private fund reporting, marketing practices, custody rules, ESG-related disclosures, valuation, anti-money laundering obligations, and the use of emerging technologies.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We owe fiduciary duties to our advisory clients, and conflicts of interest may arise in the ordinary course of business.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As an investment adviser, we are subject to fiduciary obligations that require us to act in the best interests of our clients. Actual, potential, or perceived conflicts of interest may arise among client accounts, proprietary funds, employees, affiliates, and other business activities. Although we maintain policies and procedures designed to identify and mitigate conflicts, there can be no assurance that such measures will be effective in all circumstances. Any failure to appropriately address conflicts could result in litigation, regulatory scrutiny, client dissatisfaction, or reputational harm.</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- 46 -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Poor investment performance could cause clients to withdraw assets and harm our reputation.</w:t>
      </w:r>
    </w:p>
    <w:p>
      <w:pPr>
        <w:pStyle w:val="TextBody"/>
        <w:bidi w:val="0"/>
        <w:spacing w:before="0" w:after="0"/>
        <w:ind w:left="880" w:right="0" w:hanging="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Our ability to retain existing clients and attract new clients depends in part on investment performance and our reputation. Underperformance by our investment strategies relative to benchmarks or competitors may result in reduced inflows, increased redemptions, termination of advisory relationships, and reduced revenues.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Our business depends substantially on key investment professionals and client relationships.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Our success depends significantly on the continued service of our senior management team, portfolio managers, investment professionals, and relationship managers. Competition for qualified professionals in the asset management industry is intense. The loss of key personnel, failure to recruit qualified professionals, or disruptions in client relationships could adversely affect our business, financial condition, and results of operations.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The integration of the acquired investment advisory business may be more difficult, costly, or time-consuming than expected.</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integration of the acquired investment adviser involves operational, technological, compliance, personnel, and cultural challenges. We may incur greater-than-expected integration costs, fail to realize anticipated synergies, experience disruptions in operations, or lose clients or employees during the integration process.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We may be subject to litigation and regulatory examinations.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Investment advisers are routinely subject to regulatory examinations and may become involved in litigation, arbitration, or other proceedings relating to investment performance, fiduciary obligations, disclosure practices, valuation matters, trading activities, or other aspects of operations. Such matters may result in substantial costs, liabilities, reputational harm, and diversion of management attention.</w:t>
      </w:r>
    </w:p>
    <w:p>
      <w:pPr>
        <w:pStyle w:val="TextBody"/>
        <w:bidi w:val="0"/>
        <w:spacing w:before="0" w:after="0"/>
        <w:ind w:left="88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unregsales"/>
      <w:bookmarkEnd w:id="16"/>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did not have any unregistered sales of its equity securities during the three months ended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contains information about all purchases made during the three months ended June 30, 2026 by, or on behalf of, us and any affiliated purchaser (as defined in Rule 10b-18(a)(3) under the Exchange Act) of shares or other units of any class of our equity securities that is registered pursuant to Section 12 of the Exchange Act. All purchases were made pursuant to the 2026 Repurchase Plan.</w:t>
      </w:r>
    </w:p>
    <w:p>
      <w:pPr>
        <w:pStyle w:val="TextBody"/>
        <w:bidi w:val="0"/>
        <w:spacing w:before="0" w:after="0"/>
        <w:ind w:left="0" w:right="0" w:firstLine="360"/>
        <w:jc w:val="left"/>
        <w:rPr>
          <w:caps w:val="false"/>
          <w:smallCaps w:val="false"/>
        </w:rPr>
      </w:pPr>
      <w:r>
        <w:rPr>
          <w:caps w:val="false"/>
          <w:smallCaps w:val="false"/>
        </w:rPr>
        <w:t> </w:t>
      </w:r>
    </w:p>
    <w:tbl>
      <w:tblPr>
        <w:tblW w:w="7251" w:type="dxa"/>
        <w:jc w:val="left"/>
        <w:tblInd w:w="0" w:type="dxa"/>
        <w:tblLayout w:type="fixed"/>
        <w:tblCellMar>
          <w:top w:w="0" w:type="dxa"/>
          <w:left w:w="0" w:type="dxa"/>
          <w:bottom w:w="0" w:type="dxa"/>
          <w:right w:w="0" w:type="dxa"/>
        </w:tblCellMar>
      </w:tblPr>
      <w:tblGrid>
        <w:gridCol w:w="2180"/>
        <w:gridCol w:w="60"/>
        <w:gridCol w:w="115"/>
        <w:gridCol w:w="999"/>
        <w:gridCol w:w="60"/>
        <w:gridCol w:w="60"/>
        <w:gridCol w:w="200"/>
        <w:gridCol w:w="614"/>
        <w:gridCol w:w="60"/>
        <w:gridCol w:w="60"/>
        <w:gridCol w:w="145"/>
        <w:gridCol w:w="1254"/>
        <w:gridCol w:w="60"/>
        <w:gridCol w:w="60"/>
        <w:gridCol w:w="162"/>
        <w:gridCol w:w="1102"/>
        <w:gridCol w:w="6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Approximate</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1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61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125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Dollar Amount</w:t>
            </w:r>
          </w:p>
        </w:tc>
        <w:tc>
          <w:tcPr>
            <w:tcW w:w="60" w:type="dxa"/>
            <w:tcBorders/>
            <w:shd w:fill="FFFFFF" w:val="clear"/>
            <w:vAlign w:val="center"/>
          </w:tcPr>
          <w:p>
            <w:pPr>
              <w:pStyle w:val="TableContents"/>
              <w:bidi w:val="0"/>
              <w:spacing w:before="0" w:after="0"/>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of Shares</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jc w:val="center"/>
              <w:rPr>
                <w:rFonts w:ascii="Times New Roman;Times;serif" w:hAnsi="Times New Roman;Times;serif"/>
                <w:b/>
                <w:sz w:val="18"/>
              </w:rPr>
            </w:pPr>
            <w:r>
              <w:rPr>
                <w:rFonts w:ascii="Times New Roman;Times;serif" w:hAnsi="Times New Roman;Times;serif"/>
                <w:b/>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jc w:val="center"/>
              <w:rPr>
                <w:rFonts w:ascii="Times New Roman;Times;serif" w:hAnsi="Times New Roman;Times;serif"/>
                <w:b/>
                <w:sz w:val="18"/>
              </w:rPr>
            </w:pPr>
            <w:r>
              <w:rPr>
                <w:rFonts w:ascii="Times New Roman;Times;serif" w:hAnsi="Times New Roman;Times;serif"/>
                <w:b/>
                <w:sz w:val="18"/>
              </w:rPr>
              <w:t>as 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jc w:val="center"/>
              <w:rPr>
                <w:rFonts w:ascii="Times New Roman;Times;serif" w:hAnsi="Times New Roman;Times;serif"/>
                <w:b/>
                <w:sz w:val="18"/>
              </w:rPr>
            </w:pPr>
            <w:r>
              <w:rPr>
                <w:rFonts w:ascii="Times New Roman;Times;serif" w:hAnsi="Times New Roman;Times;serif"/>
                <w:b/>
                <w:sz w:val="18"/>
              </w:rPr>
              <w:t>That May Yet</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be Repurchased</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Under the</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Programs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Authorization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April 1, 2026 - April 30, 2026</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2,486,875</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May 1, 2026 - May 31, 2026</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2,477,474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1, 2026 - June 30, 2026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2,459,819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Totals / Weighted Average</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2,459,819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s"/>
      <w:bookmarkEnd w:id="17"/>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8" w:name="mine"/>
      <w:bookmarkEnd w:id="18"/>
      <w:r>
        <w:rPr>
          <w:rFonts w:ascii="Times New Roman" w:hAnsi="Times New Roman"/>
          <w:b/>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- 47 -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modified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0" w:name="exhibits"/>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w:t>
            </w:r>
          </w:p>
        </w:tc>
        <w:tc>
          <w:tcPr>
            <w:tcW w:w="982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Articles of Amendment and Restatement, incorporated by reference to Exhibit 3.1 to the Company’s Form S-11/A, filed with the SEC on April 29, 2004</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w:t>
            </w:r>
          </w:p>
        </w:tc>
        <w:tc>
          <w:tcPr>
            <w:tcW w:w="9825"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Articles Supplementary, incorporated by reference to Exhibit 3.1 to the Company’s Current Report on Form 8-K, dated November 3, 2005, filed with the SEC on November 8, 2005</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3.3</w:t>
            </w:r>
          </w:p>
        </w:tc>
        <w:tc>
          <w:tcPr>
            <w:tcW w:w="982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Articles of Amendment, incorporated by reference to Exhibit 3.1 to the Company’s Current Report on Form 8-K, dated February 10, 2006, filed with the SEC on February 15, 2006</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3.4</w:t>
            </w:r>
          </w:p>
        </w:tc>
        <w:tc>
          <w:tcPr>
            <w:tcW w:w="9825"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Articles of Amendment, incorporated by reference to Exhibit 3.1 to the Company’s Current Report on Form 8-K, dated September 24, 2007, filed with the SEC on September 24, 2007</w:t>
              </w:r>
            </w:hyperlink>
          </w:p>
        </w:tc>
      </w:tr>
      <w:tr>
        <w:trPr/>
        <w:tc>
          <w:tcPr>
            <w:tcW w:w="380" w:type="dxa"/>
            <w:tcBorders/>
            <w:vAlign w:val="center"/>
          </w:tcPr>
          <w:p>
            <w:pPr>
              <w:pStyle w:val="TableContents"/>
              <w:bidi w:val="0"/>
              <w:spacing w:before="0" w:after="283"/>
              <w:jc w:val="left"/>
              <w:rPr/>
            </w:pPr>
            <w:r>
              <w:rPr/>
              <w:t>3.5</w:t>
            </w:r>
          </w:p>
        </w:tc>
        <w:tc>
          <w:tcPr>
            <w:tcW w:w="9825" w:type="dxa"/>
            <w:tcBorders/>
            <w:vAlign w:val="center"/>
          </w:tcPr>
          <w:p>
            <w:pPr>
              <w:pStyle w:val="TableContents"/>
              <w:bidi w:val="0"/>
              <w:spacing w:before="0" w:after="283"/>
              <w:jc w:val="left"/>
              <w:rPr/>
            </w:pPr>
            <w:hyperlink r:id="rId7">
              <w:r>
                <w:rPr>
                  <w:rStyle w:val="InternetLink"/>
                  <w:u w:val="single"/>
                </w:rPr>
                <w:t>Certificate of Notice, incorporated by reference to Exhibit 3.1 to the Company’s Current Report on Form 8-K, dated January 28, 2008, filed with the SEC on February 1, 2008</w:t>
              </w:r>
            </w:hyperlink>
          </w:p>
        </w:tc>
      </w:tr>
      <w:tr>
        <w:trPr/>
        <w:tc>
          <w:tcPr>
            <w:tcW w:w="380" w:type="dxa"/>
            <w:tcBorders/>
            <w:vAlign w:val="center"/>
          </w:tcPr>
          <w:p>
            <w:pPr>
              <w:pStyle w:val="TableContents"/>
              <w:bidi w:val="0"/>
              <w:spacing w:before="0" w:after="283"/>
              <w:jc w:val="left"/>
              <w:rPr/>
            </w:pPr>
            <w:r>
              <w:rPr/>
              <w:t>3.6</w:t>
            </w:r>
          </w:p>
        </w:tc>
        <w:tc>
          <w:tcPr>
            <w:tcW w:w="9825" w:type="dxa"/>
            <w:tcBorders/>
            <w:vAlign w:val="center"/>
          </w:tcPr>
          <w:p>
            <w:pPr>
              <w:pStyle w:val="TableContents"/>
              <w:bidi w:val="0"/>
              <w:spacing w:before="0" w:after="283"/>
              <w:jc w:val="left"/>
              <w:rPr/>
            </w:pPr>
            <w:hyperlink r:id="rId8">
              <w:r>
                <w:rPr>
                  <w:rStyle w:val="InternetLink"/>
                  <w:u w:val="single"/>
                </w:rPr>
                <w:t>Articles Supplementary, reclassifying shares of Class A Preferred Stock and Class B Preferred Stock into Preferred Stock, incorporated by reference to Exhibit 3.1 to the Company’s Current Report on Form 8-K, dated December 21, 2015, filed with the SEC on December 21, 2015</w:t>
              </w:r>
            </w:hyperlink>
          </w:p>
        </w:tc>
      </w:tr>
      <w:tr>
        <w:trPr/>
        <w:tc>
          <w:tcPr>
            <w:tcW w:w="380" w:type="dxa"/>
            <w:tcBorders/>
            <w:vAlign w:val="center"/>
          </w:tcPr>
          <w:p>
            <w:pPr>
              <w:pStyle w:val="TableContents"/>
              <w:bidi w:val="0"/>
              <w:spacing w:before="0" w:after="283"/>
              <w:jc w:val="left"/>
              <w:rPr/>
            </w:pPr>
            <w:r>
              <w:rPr/>
              <w:t>3.7</w:t>
            </w:r>
          </w:p>
        </w:tc>
        <w:tc>
          <w:tcPr>
            <w:tcW w:w="9825" w:type="dxa"/>
            <w:tcBorders/>
            <w:vAlign w:val="center"/>
          </w:tcPr>
          <w:p>
            <w:pPr>
              <w:pStyle w:val="TableContents"/>
              <w:bidi w:val="0"/>
              <w:spacing w:before="0" w:after="283"/>
              <w:jc w:val="left"/>
              <w:rPr/>
            </w:pPr>
            <w:hyperlink r:id="rId9">
              <w:r>
                <w:rPr>
                  <w:rStyle w:val="InternetLink"/>
                  <w:u w:val="single"/>
                </w:rPr>
                <w:t>Articles Supplementary, creating the Series A Preferred Stock, incorporated by reference to Exhibit 3.2 to the Company’s Current Report on Form 8-K, dated December 21, 2015, filed with the SEC on December 21, 2015.</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3.8</w:t>
            </w:r>
          </w:p>
        </w:tc>
        <w:tc>
          <w:tcPr>
            <w:tcW w:w="9825"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Amended and Restated Bylaws, incorporated by reference to Exhibit 3.2 to the Company’s Current Report on Form 8-K, dated September 24, 2007, filed with the SEC on September 24, 2007</w:t>
              </w:r>
            </w:hyperlink>
          </w:p>
        </w:tc>
      </w:tr>
      <w:tr>
        <w:trPr/>
        <w:tc>
          <w:tcPr>
            <w:tcW w:w="380" w:type="dxa"/>
            <w:tcBorders/>
            <w:vAlign w:val="center"/>
          </w:tcPr>
          <w:p>
            <w:pPr>
              <w:pStyle w:val="TableContents"/>
              <w:bidi w:val="0"/>
              <w:spacing w:before="0" w:after="283"/>
              <w:jc w:val="left"/>
              <w:rPr/>
            </w:pPr>
            <w:r>
              <w:rPr/>
              <w:t>4.1</w:t>
            </w:r>
          </w:p>
        </w:tc>
        <w:tc>
          <w:tcPr>
            <w:tcW w:w="9825" w:type="dxa"/>
            <w:tcBorders/>
            <w:vAlign w:val="center"/>
          </w:tcPr>
          <w:p>
            <w:pPr>
              <w:pStyle w:val="TableContents"/>
              <w:bidi w:val="0"/>
              <w:spacing w:before="0" w:after="283"/>
              <w:jc w:val="left"/>
              <w:rPr/>
            </w:pPr>
            <w:hyperlink r:id="rId11">
              <w:r>
                <w:rPr>
                  <w:rStyle w:val="InternetLink"/>
                  <w:u w:val="single"/>
                </w:rPr>
                <w:t>Rights Plan, dated as of December 21, 2015, between the Company and Broadridge Corporate Issuer Solutions, Inc. incorporated by reference to Exhibit 4.1 to the Company’s Current Report on Form 8-K, dated December 21, 2015, filed with the SEC on December 21, 2015.</w:t>
              </w:r>
            </w:hyperlink>
          </w:p>
        </w:tc>
      </w:tr>
      <w:tr>
        <w:trPr/>
        <w:tc>
          <w:tcPr>
            <w:tcW w:w="380" w:type="dxa"/>
            <w:tcBorders/>
            <w:vAlign w:val="center"/>
          </w:tcPr>
          <w:p>
            <w:pPr>
              <w:pStyle w:val="TableContents"/>
              <w:bidi w:val="0"/>
              <w:spacing w:before="0" w:after="283"/>
              <w:jc w:val="left"/>
              <w:rPr/>
            </w:pPr>
            <w:r>
              <w:rPr/>
              <w:t>4.2</w:t>
            </w:r>
          </w:p>
        </w:tc>
        <w:tc>
          <w:tcPr>
            <w:tcW w:w="9825" w:type="dxa"/>
            <w:tcBorders/>
            <w:vAlign w:val="center"/>
          </w:tcPr>
          <w:p>
            <w:pPr>
              <w:pStyle w:val="TableContents"/>
              <w:bidi w:val="0"/>
              <w:spacing w:before="0" w:after="283"/>
              <w:jc w:val="left"/>
              <w:rPr/>
            </w:pPr>
            <w:hyperlink r:id="rId12">
              <w:r>
                <w:rPr>
                  <w:rStyle w:val="InternetLink"/>
                  <w:u w:val="single"/>
                </w:rPr>
                <w:t>Description of the Company’s Capital Stock, incorporated by reference to Exhibit 4.2 to the Company’s Annual Report on Form 10-K, filed with the SEC on March 27, 2020.</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825" w:type="dxa"/>
            <w:tcBorders/>
            <w:vAlign w:val="center"/>
          </w:tcPr>
          <w:p>
            <w:pPr>
              <w:pStyle w:val="TableContents"/>
              <w:bidi w:val="0"/>
              <w:spacing w:before="0" w:after="0"/>
              <w:ind w:left="0" w:right="0" w:hanging="0"/>
              <w:jc w:val="both"/>
              <w:rPr/>
            </w:pPr>
            <w:hyperlink w:anchor="ex_980643.htm">
              <w:r>
                <w:rPr>
                  <w:rStyle w:val="InternetLink"/>
                  <w:rFonts w:ascii="Times New Roman" w:hAnsi="Times New Roman"/>
                  <w:caps w:val="false"/>
                  <w:smallCaps w:val="false"/>
                  <w:sz w:val="20"/>
                </w:rPr>
                <w:t>Certification of the Principal Executive Officer, pursuant to Rule 13a-14(a) or 15d-14(a) of the Securities Exchange Act of 1934, as adopted pursuant to Section 302 of the Sarbanes Oxley Act of 2002*</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825" w:type="dxa"/>
            <w:tcBorders/>
            <w:vAlign w:val="center"/>
          </w:tcPr>
          <w:p>
            <w:pPr>
              <w:pStyle w:val="TableContents"/>
              <w:bidi w:val="0"/>
              <w:spacing w:before="0" w:after="0"/>
              <w:ind w:left="0" w:right="0" w:hanging="0"/>
              <w:jc w:val="both"/>
              <w:rPr/>
            </w:pPr>
            <w:hyperlink w:anchor="ex_980644.htm">
              <w:r>
                <w:rPr>
                  <w:rStyle w:val="InternetLink"/>
                  <w:rFonts w:ascii="Times New Roman" w:hAnsi="Times New Roman"/>
                  <w:caps w:val="false"/>
                  <w:smallCaps w:val="false"/>
                  <w:sz w:val="20"/>
                </w:rPr>
                <w:t>Certification of the Principal Financial Officer, pursuant to Rule 13a-14(a) or 15d-14(a) of the Securities Exchange Act of 1934, as adopted pursuant to Section 302 of the Sarbanes Oxley Act of 2002*</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825" w:type="dxa"/>
            <w:tcBorders/>
            <w:vAlign w:val="center"/>
          </w:tcPr>
          <w:p>
            <w:pPr>
              <w:pStyle w:val="TableContents"/>
              <w:bidi w:val="0"/>
              <w:spacing w:before="0" w:after="0"/>
              <w:ind w:left="0" w:right="0" w:hanging="0"/>
              <w:jc w:val="both"/>
              <w:rPr/>
            </w:pPr>
            <w:hyperlink w:anchor="ex_980645.htm">
              <w:r>
                <w:rPr>
                  <w:rStyle w:val="InternetLink"/>
                  <w:rFonts w:ascii="Times New Roman" w:hAnsi="Times New Roman"/>
                  <w:caps w:val="false"/>
                  <w:smallCaps w:val="false"/>
                  <w:sz w:val="20"/>
                </w:rPr>
                <w:t>Certification of the Chief Executive Officer, pursuant to 18 U.S.C. Section 1350, as adopted pursuant to Section 906 of the Sarbanes Oxley Act of 2002**</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825" w:type="dxa"/>
            <w:tcBorders/>
            <w:vAlign w:val="center"/>
          </w:tcPr>
          <w:p>
            <w:pPr>
              <w:pStyle w:val="TableContents"/>
              <w:bidi w:val="0"/>
              <w:spacing w:before="0" w:after="0"/>
              <w:ind w:left="0" w:right="0" w:hanging="0"/>
              <w:jc w:val="both"/>
              <w:rPr/>
            </w:pPr>
            <w:hyperlink w:anchor="ex_980646.htm">
              <w:r>
                <w:rPr>
                  <w:rStyle w:val="InternetLink"/>
                  <w:rFonts w:ascii="Times New Roman" w:hAnsi="Times New Roman"/>
                  <w:caps w:val="false"/>
                  <w:smallCaps w:val="false"/>
                  <w:sz w:val="20"/>
                </w:rPr>
                <w:t>Certification of the Chief Financial Officer, pursuant to 18 U.S.C. Section 1350, as adopted pursuant to Section 906 of the Sarbanes Oxley Act of 2002**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3"/>
        <w:gridCol w:w="9552"/>
      </w:tblGrid>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101.INS </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101.SCH</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101.CAL</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101.DEF </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Additional Taxonomy Extension Definition Linkbase Document***</w:t>
            </w:r>
          </w:p>
        </w:tc>
      </w:tr>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101.LAB</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101.PRE</w:t>
            </w:r>
          </w:p>
        </w:tc>
        <w:tc>
          <w:tcPr>
            <w:tcW w:w="95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53" w:type="dxa"/>
            <w:tcBorders/>
            <w:vAlign w:val="center"/>
          </w:tcPr>
          <w:p>
            <w:pPr>
              <w:pStyle w:val="TableContents"/>
              <w:bidi w:val="0"/>
              <w:spacing w:before="0" w:after="283"/>
              <w:jc w:val="left"/>
              <w:rPr/>
            </w:pPr>
            <w:r>
              <w:rPr/>
              <w:t>104</w:t>
            </w:r>
          </w:p>
        </w:tc>
        <w:tc>
          <w:tcPr>
            <w:tcW w:w="9552"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Submitted electronically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- 48 -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60"/>
        <w:gridCol w:w="4325"/>
      </w:tblGrid>
      <w:tr>
        <w:trPr/>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BIMINI CAPITAL MANAGEMENT, INC.</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55" w:type="dxa"/>
        <w:jc w:val="left"/>
        <w:tblInd w:w="0" w:type="dxa"/>
        <w:tblLayout w:type="fixed"/>
        <w:tblCellMar>
          <w:top w:w="0" w:type="dxa"/>
          <w:left w:w="0" w:type="dxa"/>
          <w:bottom w:w="0" w:type="dxa"/>
          <w:right w:w="0" w:type="dxa"/>
        </w:tblCellMar>
      </w:tblPr>
      <w:tblGrid>
        <w:gridCol w:w="2150"/>
        <w:gridCol w:w="320"/>
        <w:gridCol w:w="3125"/>
        <w:gridCol w:w="60"/>
      </w:tblGrid>
      <w:tr>
        <w:trPr/>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c>
          <w:tcPr>
            <w:tcW w:w="6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2"/>
        <w:gridCol w:w="303"/>
        <w:gridCol w:w="8168"/>
        <w:gridCol w:w="62"/>
      </w:tblGrid>
      <w:tr>
        <w:trPr/>
        <w:tc>
          <w:tcPr>
            <w:tcW w:w="16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81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 Hunter Haas, IV</w:t>
            </w:r>
          </w:p>
        </w:tc>
        <w:tc>
          <w:tcPr>
            <w:tcW w:w="62" w:type="dxa"/>
            <w:tcBorders/>
            <w:vAlign w:val="center"/>
          </w:tcPr>
          <w:p>
            <w:pPr>
              <w:pStyle w:val="TableContents"/>
              <w:bidi w:val="0"/>
              <w:spacing w:before="0" w:after="283"/>
              <w:jc w:val="left"/>
              <w:rPr/>
            </w:pPr>
            <w:r>
              <w:rPr/>
              <w:t> </w:t>
            </w:r>
          </w:p>
        </w:tc>
      </w:tr>
      <w:tr>
        <w:trPr/>
        <w:tc>
          <w:tcPr>
            <w:tcW w:w="1672"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1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Hunter Haas, IV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Financial Officer, Chief Investment Officer and Treasurer (Principal Financial Officer and Principal Accounting Officer)</w:t>
            </w:r>
          </w:p>
        </w:tc>
        <w:tc>
          <w:tcPr>
            <w:tcW w:w="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- 49 - </w:t>
      </w:r>
    </w:p>
    <w:p>
      <w:pPr>
        <w:pStyle w:val="TextBody"/>
        <w:bidi w:val="0"/>
        <w:spacing w:before="0" w:after="0"/>
        <w:ind w:left="0" w:right="0" w:hanging="0"/>
        <w:jc w:val="right"/>
        <w:rPr>
          <w:rFonts w:ascii="Times New Roman" w:hAnsi="Times New Roman"/>
          <w:b/>
          <w:caps w:val="false"/>
          <w:smallCaps w:val="false"/>
          <w:sz w:val="20"/>
        </w:rPr>
      </w:pPr>
      <w:bookmarkStart w:id="22" w:name="ex_980643.htm"/>
      <w:bookmarkStart w:id="23" w:name="ksex_980643"/>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Robert E. Cauley, certify that:</w:t>
      </w:r>
    </w:p>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Bimini Capital Management,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4175"/>
        <w:gridCol w:w="60"/>
      </w:tblGrid>
      <w:tr>
        <w:trPr/>
        <w:tc>
          <w:tcPr>
            <w:tcW w:w="4175" w:type="dxa"/>
            <w:tcBorders/>
            <w:vAlign w:val="center"/>
          </w:tcPr>
          <w:p>
            <w:pPr>
              <w:pStyle w:val="TableContents"/>
              <w:bidi w:val="0"/>
              <w:spacing w:before="0" w:after="283"/>
              <w:jc w:val="left"/>
              <w:rPr/>
            </w:pPr>
            <w:r>
              <w:rPr/>
              <w:t xml:space="preserve">Date: </w:t>
            </w:r>
            <w:bookmarkStart w:id="24" w:name="led380070F20232101678416001558"/>
            <w:bookmarkEnd w:id="24"/>
            <w:r>
              <w:rPr/>
              <w:t>August 7, 2026</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75" w:type="dxa"/>
            <w:tcBorders>
              <w:bottom w:val="single" w:sz="2" w:space="0" w:color="000000"/>
            </w:tcBorders>
            <w:tcMar>
              <w:bottom w:w="28" w:type="dxa"/>
            </w:tcMar>
            <w:vAlign w:val="center"/>
          </w:tcPr>
          <w:p>
            <w:pPr>
              <w:pStyle w:val="TableContents"/>
              <w:bidi w:val="0"/>
              <w:spacing w:before="0" w:after="283"/>
              <w:jc w:val="left"/>
              <w:rPr/>
            </w:pPr>
            <w:r>
              <w:rPr/>
              <w:t>/s/ Robert E. Cauley</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980644.htm"/>
      <w:bookmarkStart w:id="26" w:name="ksex_980644"/>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 Hunter Haas, certify that:</w:t>
      </w:r>
    </w:p>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Bimini Capital Management,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3020"/>
        <w:gridCol w:w="60"/>
      </w:tblGrid>
      <w:tr>
        <w:trPr/>
        <w:tc>
          <w:tcPr>
            <w:tcW w:w="3020" w:type="dxa"/>
            <w:tcBorders/>
            <w:vAlign w:val="center"/>
          </w:tcPr>
          <w:p>
            <w:pPr>
              <w:pStyle w:val="TableContents"/>
              <w:bidi w:val="0"/>
              <w:spacing w:before="0" w:after="283"/>
              <w:jc w:val="left"/>
              <w:rPr/>
            </w:pPr>
            <w:r>
              <w:rPr/>
              <w:t xml:space="preserve">Date: </w:t>
            </w:r>
            <w:bookmarkStart w:id="27" w:name="led380070F20232101678416041181"/>
            <w:bookmarkEnd w:id="27"/>
            <w:r>
              <w:rPr/>
              <w:t>August 7, 2026</w:t>
            </w:r>
          </w:p>
        </w:tc>
        <w:tc>
          <w:tcPr>
            <w:tcW w:w="6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20" w:type="dxa"/>
            <w:tcBorders>
              <w:bottom w:val="single" w:sz="2" w:space="0" w:color="000000"/>
            </w:tcBorders>
            <w:tcMar>
              <w:bottom w:w="28" w:type="dxa"/>
            </w:tcMar>
            <w:vAlign w:val="center"/>
          </w:tcPr>
          <w:p>
            <w:pPr>
              <w:pStyle w:val="TableContents"/>
              <w:bidi w:val="0"/>
              <w:spacing w:before="0" w:after="283"/>
              <w:jc w:val="left"/>
              <w:rPr/>
            </w:pPr>
            <w:r>
              <w:rPr/>
              <w:t>/s/ G. Hunter Haas, IV</w:t>
            </w:r>
          </w:p>
        </w:tc>
        <w:tc>
          <w:tcPr>
            <w:tcW w:w="6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Hunter Haas, IV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980645.htm"/>
      <w:bookmarkStart w:id="29" w:name="ksex_980645"/>
      <w:bookmarkEnd w:id="28"/>
      <w:bookmarkEnd w:id="2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Robert E. Cauley, in compliance 18 U.S.C. Section 1350, as adopted pursuant to Section 906 of the Sarbanes-Oxley Act of 2002, hereby certify that, the Quarterly Report For Bimini Capital Management, Inc. (the "Company") on Form 10-Q for the period ended </w:t>
      </w:r>
      <w:bookmarkStart w:id="30" w:name="led380070F20232101678416099594"/>
      <w:bookmarkEnd w:id="30"/>
      <w:r>
        <w:rPr>
          <w:rFonts w:ascii="Times New Roman" w:hAnsi="Times New Roman"/>
          <w:caps w:val="false"/>
          <w:smallCaps w:val="false"/>
          <w:sz w:val="20"/>
        </w:rPr>
        <w:t>June 30, 2026 (the “Report”)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70"/>
        <w:gridCol w:w="96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3213"/>
        <w:gridCol w:w="2249"/>
        <w:gridCol w:w="771"/>
      </w:tblGrid>
      <w:tr>
        <w:trPr/>
        <w:tc>
          <w:tcPr>
            <w:tcW w:w="3213" w:type="dxa"/>
            <w:tcBorders/>
          </w:tcPr>
          <w:p>
            <w:pPr>
              <w:pStyle w:val="TableContents"/>
              <w:bidi w:val="0"/>
              <w:spacing w:before="0" w:after="0"/>
              <w:ind w:left="0" w:right="0" w:hanging="0"/>
              <w:jc w:val="left"/>
              <w:rPr>
                <w:rFonts w:ascii="Times New Roman;Times;serif" w:hAnsi="Times New Roman;Times;serif"/>
                <w:sz w:val="20"/>
              </w:rPr>
            </w:pPr>
            <w:bookmarkStart w:id="31" w:name="led380070F20232101678416077006"/>
            <w:bookmarkEnd w:id="31"/>
            <w:r>
              <w:rPr>
                <w:rFonts w:ascii="Times New Roman;Times;serif" w:hAnsi="Times New Roman;Times;serif"/>
                <w:sz w:val="20"/>
              </w:rPr>
              <w:t>August 7, 2026</w:t>
            </w:r>
          </w:p>
        </w:tc>
        <w:tc>
          <w:tcPr>
            <w:tcW w:w="224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E.Cauley</w:t>
            </w:r>
          </w:p>
        </w:tc>
        <w:tc>
          <w:tcPr>
            <w:tcW w:w="771" w:type="dxa"/>
            <w:tcBorders/>
          </w:tcPr>
          <w:p>
            <w:pPr>
              <w:pStyle w:val="TableContents"/>
              <w:bidi w:val="0"/>
              <w:spacing w:before="0" w:after="0"/>
              <w:ind w:left="0" w:right="0" w:hanging="0"/>
              <w:jc w:val="left"/>
              <w:rPr/>
            </w:pPr>
            <w:r>
              <w:rPr/>
              <w:t> </w:t>
            </w:r>
          </w:p>
        </w:tc>
      </w:tr>
      <w:tr>
        <w:trPr/>
        <w:tc>
          <w:tcPr>
            <w:tcW w:w="3213" w:type="dxa"/>
            <w:tcBorders/>
          </w:tcPr>
          <w:p>
            <w:pPr>
              <w:pStyle w:val="TableContents"/>
              <w:bidi w:val="0"/>
              <w:spacing w:before="0" w:after="0"/>
              <w:ind w:left="0" w:right="0" w:hanging="0"/>
              <w:jc w:val="left"/>
              <w:rPr/>
            </w:pPr>
            <w:r>
              <w:rPr/>
              <w:t> </w:t>
            </w:r>
          </w:p>
        </w:tc>
        <w:tc>
          <w:tcPr>
            <w:tcW w:w="224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Cauley,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77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980646.htm"/>
      <w:bookmarkStart w:id="33" w:name="ksex_980646"/>
      <w:bookmarkEnd w:id="32"/>
      <w:bookmarkEnd w:id="33"/>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 Hunter Haas, in compliance 18 U.S.C. Section 1350, as adopted pursuant to Section 906 of the Sarbanes-Oxley Act of 2002, hereby certify that, the Quarterly Report for Bimini Capital Management, Inc. (the “Company”) on Form 10-Q for the period ended </w:t>
      </w:r>
      <w:bookmarkStart w:id="34" w:name="led380070F20232101678416162968"/>
      <w:bookmarkEnd w:id="34"/>
      <w:r>
        <w:rPr>
          <w:rFonts w:ascii="Times New Roman" w:hAnsi="Times New Roman"/>
          <w:caps w:val="false"/>
          <w:smallCaps w:val="false"/>
          <w:sz w:val="20"/>
        </w:rPr>
        <w:t>June 30, 2026 (the “Report”)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70"/>
        <w:gridCol w:w="96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28" w:type="dxa"/>
        <w:jc w:val="left"/>
        <w:tblInd w:w="0" w:type="dxa"/>
        <w:tblLayout w:type="fixed"/>
        <w:tblCellMar>
          <w:top w:w="0" w:type="dxa"/>
          <w:left w:w="0" w:type="dxa"/>
          <w:bottom w:w="0" w:type="dxa"/>
          <w:right w:w="0" w:type="dxa"/>
        </w:tblCellMar>
      </w:tblPr>
      <w:tblGrid>
        <w:gridCol w:w="4345"/>
        <w:gridCol w:w="3041"/>
        <w:gridCol w:w="1042"/>
      </w:tblGrid>
      <w:tr>
        <w:trPr/>
        <w:tc>
          <w:tcPr>
            <w:tcW w:w="4345" w:type="dxa"/>
            <w:tcBorders/>
          </w:tcPr>
          <w:p>
            <w:pPr>
              <w:pStyle w:val="TableContents"/>
              <w:bidi w:val="0"/>
              <w:spacing w:before="0" w:after="0"/>
              <w:ind w:left="0" w:right="0" w:hanging="0"/>
              <w:jc w:val="left"/>
              <w:rPr>
                <w:rFonts w:ascii="Times New Roman;Times;serif" w:hAnsi="Times New Roman;Times;serif"/>
                <w:sz w:val="20"/>
              </w:rPr>
            </w:pPr>
            <w:bookmarkStart w:id="35" w:name="led380070F20232101678416151244"/>
            <w:bookmarkEnd w:id="35"/>
            <w:r>
              <w:rPr>
                <w:rFonts w:ascii="Times New Roman;Times;serif" w:hAnsi="Times New Roman;Times;serif"/>
                <w:sz w:val="20"/>
              </w:rPr>
              <w:t>August 7, 2026</w:t>
            </w:r>
          </w:p>
        </w:tc>
        <w:tc>
          <w:tcPr>
            <w:tcW w:w="304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 Hunter Haas, IV</w:t>
            </w:r>
          </w:p>
        </w:tc>
        <w:tc>
          <w:tcPr>
            <w:tcW w:w="1042" w:type="dxa"/>
            <w:tcBorders/>
          </w:tcPr>
          <w:p>
            <w:pPr>
              <w:pStyle w:val="TableContents"/>
              <w:bidi w:val="0"/>
              <w:spacing w:before="0" w:after="0"/>
              <w:ind w:left="0" w:right="0" w:hanging="0"/>
              <w:jc w:val="left"/>
              <w:rPr/>
            </w:pPr>
            <w:r>
              <w:rPr/>
              <w:t> </w:t>
            </w:r>
          </w:p>
        </w:tc>
      </w:tr>
      <w:tr>
        <w:trPr/>
        <w:tc>
          <w:tcPr>
            <w:tcW w:w="4345" w:type="dxa"/>
            <w:tcBorders/>
          </w:tcPr>
          <w:p>
            <w:pPr>
              <w:pStyle w:val="TableContents"/>
              <w:bidi w:val="0"/>
              <w:spacing w:before="0" w:after="0"/>
              <w:ind w:left="0" w:right="0" w:hanging="0"/>
              <w:jc w:val="left"/>
              <w:rPr/>
            </w:pPr>
            <w:r>
              <w:rPr/>
              <w:t> </w:t>
            </w:r>
          </w:p>
        </w:tc>
        <w:tc>
          <w:tcPr>
            <w:tcW w:w="304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 Hunter Haas, IV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c>
          <w:tcPr>
            <w:tcW w:w="104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275477/000104746904014207/a2134714zex-3_1.htm" TargetMode="External"/><Relationship Id="rId4" Type="http://schemas.openxmlformats.org/officeDocument/2006/relationships/hyperlink" Target="http://www.sec.gov/Archives/edgar/data/1275477/000110465905053612/a05-19639_1ex3d1.htm" TargetMode="External"/><Relationship Id="rId5" Type="http://schemas.openxmlformats.org/officeDocument/2006/relationships/hyperlink" Target="http://www.sec.gov/Archives/edgar/data/1275477/000110465906009839/a06-5199_1ex3d1.htm" TargetMode="External"/><Relationship Id="rId6" Type="http://schemas.openxmlformats.org/officeDocument/2006/relationships/hyperlink" Target="http://www.sec.gov/Archives/edgar/data/1275477/000127547707000021/opx8k09242007ex3-1.htm" TargetMode="External"/><Relationship Id="rId7" Type="http://schemas.openxmlformats.org/officeDocument/2006/relationships/hyperlink" Target="http://www.sec.gov/Archives/edgar/data/1275477/000127547708000004/bmnm8k02012008ex3-1.htm" TargetMode="External"/><Relationship Id="rId8" Type="http://schemas.openxmlformats.org/officeDocument/2006/relationships/hyperlink" Target="http://www.sec.gov/Archives/edgar/data/1275477/000119312515409195/d107655dex31.htm" TargetMode="External"/><Relationship Id="rId9" Type="http://schemas.openxmlformats.org/officeDocument/2006/relationships/hyperlink" Target="http://www.sec.gov/Archives/edgar/data/1275477/000119312515409195/d107655dex32.htm" TargetMode="External"/><Relationship Id="rId10" Type="http://schemas.openxmlformats.org/officeDocument/2006/relationships/hyperlink" Target="http://www.sec.gov/Archives/edgar/data/1275477/000127547707000021/opx8k09242007ex3-2.htm" TargetMode="External"/><Relationship Id="rId11" Type="http://schemas.openxmlformats.org/officeDocument/2006/relationships/hyperlink" Target="http://www.sec.gov/Archives/edgar/data/1275477/000119312515409195/d107655dex41.htm" TargetMode="External"/><Relationship Id="rId12" Type="http://schemas.openxmlformats.org/officeDocument/2006/relationships/hyperlink" Target="http://www.sec.gov/Archives/edgar/data/1275477/000127547720000048/bmnm10k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30752</Words>
  <Characters>165258</Characters>
  <CharactersWithSpaces>200194</CharactersWithSpaces>
  <Paragraphs>12643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