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jc w:val="center"/>
        <w:ind w:right="-1120"/>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120"/>
        <w:spacing w:after="0" w:line="231" w:lineRule="auto"/>
        <w:rPr>
          <w:sz w:val="20"/>
          <w:szCs w:val="20"/>
          <w:color w:val="auto"/>
        </w:rPr>
      </w:pPr>
      <w:r>
        <w:rPr>
          <w:rFonts w:ascii="Times New Roman" w:cs="Times New Roman" w:eastAsia="Times New Roman" w:hAnsi="Times New Roman"/>
          <w:sz w:val="22"/>
          <w:szCs w:val="22"/>
          <w:color w:val="auto"/>
        </w:rPr>
        <w:t>Proxy Statement Pursuant to Section 14(a) of</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Fees paid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 w:name="page2"/>
    <w:bookmarkEnd w:id="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380365</wp:posOffset>
            </wp:positionV>
            <wp:extent cx="210883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08835" cy="53149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3305 Flamingo Drive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 Beach, Florida 32963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JUNE 9,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of Bimini Capital Management, Inc., a Maryland corporation, will be held at our principal executive office, located at 3305 Flamingo Drive, Vero Beach, Florida on June 9, 2026, at 8:00 a.m., Eastern Time, for the following purposes:</w:t>
      </w:r>
    </w:p>
    <w:p>
      <w:pPr>
        <w:spacing w:after="0" w:line="162" w:lineRule="exact"/>
        <w:rPr>
          <w:sz w:val="20"/>
          <w:szCs w:val="20"/>
          <w:color w:val="auto"/>
        </w:rPr>
      </w:pPr>
    </w:p>
    <w:p>
      <w:pPr>
        <w:ind w:left="860" w:hanging="52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II director, to serve until the 2029 Annual Meeting of Stockholders and until his successor is duly elected and qualified;</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P.C. as our independent registered public accounting firm for the year ending December 31, 2026;</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First Amendment to the Company's Rights Agreement;</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Company's 2025 executive compensation; and</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such other business as may properly come before the annual meeting or any adjournment or postponement thereof.</w:t>
      </w:r>
    </w:p>
    <w:p>
      <w:pPr>
        <w:spacing w:after="0" w:line="22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16, 2026 as the record date for the Annual Meeting. Only holders of record of our Class A Common Stock and Class B Common Stock as of that date are entitled to notice of, and to vote at, the Annual Meeting and any adjournment or postponement thereof. A list of stockholders entitled to vote at the Annual Meeting will be available at the Annual Meeting.</w:t>
      </w:r>
    </w:p>
    <w:p>
      <w:pPr>
        <w:spacing w:after="0" w:line="172"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very important. If you do not provide voting instructions, your shares will not be voted or counted on several important matters. We urge you to vote as soon as possible after you receive these proxy materials, even if you plan on attending the Annual Meeting. These materials explain how to vote via mail, phone or Internet.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Admission to the Annual Meeting will be by ticket only. If you are a stockholder of record and plan to attend, tear off the admission ticket from the top half of your proxy card and bring it and a photo ID with you so that you may gain admission to the Meeting. If your shares are held through a broker, please contact your broker and request that the broker obtain an admission ticket for you or provide you with evidence of your share ownership, which will gain you admission to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7698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69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 Beach, Florida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gridSpan w:val="3"/>
            <w:vMerge w:val="restart"/>
          </w:tcPr>
          <w:p>
            <w:pPr>
              <w:ind w:left="20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226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0000EE"/>
              </w:rPr>
              <w:t>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Proxy Statement Summary</w:t>
            </w:r>
          </w:p>
        </w:tc>
        <w:tc>
          <w:tcPr>
            <w:tcW w:w="2260" w:type="dxa"/>
            <w:vAlign w:val="bottom"/>
            <w:gridSpan w:val="2"/>
          </w:tcPr>
          <w:p>
            <w:pPr>
              <w:jc w:val="center"/>
              <w:ind w:left="207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General Information About Voting</w:t>
            </w:r>
          </w:p>
        </w:tc>
        <w:tc>
          <w:tcPr>
            <w:tcW w:w="6140" w:type="dxa"/>
            <w:vAlign w:val="bottom"/>
            <w:gridSpan w:val="15"/>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Proposal 1: Election of Class II Director</w:t>
            </w:r>
          </w:p>
        </w:tc>
        <w:tc>
          <w:tcPr>
            <w:tcW w:w="226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0000EE"/>
              </w:rPr>
              <w:t>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Nominees for Director</w:t>
            </w:r>
          </w:p>
        </w:tc>
        <w:tc>
          <w:tcPr>
            <w:tcW w:w="5740" w:type="dxa"/>
            <w:vAlign w:val="bottom"/>
            <w:gridSpan w:val="12"/>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top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Continuing Directors</w:t>
            </w:r>
          </w:p>
        </w:tc>
        <w:tc>
          <w:tcPr>
            <w:tcW w:w="80" w:type="dxa"/>
            <w:vAlign w:val="bottom"/>
            <w:tcBorders>
              <w:top w:val="single" w:sz="8" w:color="0000EE"/>
            </w:tcBorders>
          </w:tcPr>
          <w:p>
            <w:pPr>
              <w:spacing w:after="0"/>
              <w:rPr>
                <w:sz w:val="17"/>
                <w:szCs w:val="17"/>
                <w:color w:val="auto"/>
              </w:rPr>
            </w:pPr>
          </w:p>
        </w:tc>
        <w:tc>
          <w:tcPr>
            <w:tcW w:w="6680" w:type="dxa"/>
            <w:vAlign w:val="bottom"/>
            <w:gridSpan w:val="21"/>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3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2260" w:type="dxa"/>
            <w:vAlign w:val="bottom"/>
            <w:gridSpan w:val="2"/>
          </w:tcPr>
          <w:p>
            <w:pPr>
              <w:jc w:val="center"/>
              <w:ind w:left="207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of Directors Composition</w:t>
            </w:r>
          </w:p>
        </w:tc>
        <w:tc>
          <w:tcPr>
            <w:tcW w:w="5660" w:type="dxa"/>
            <w:vAlign w:val="bottom"/>
            <w:gridSpan w:val="11"/>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6340" w:type="dxa"/>
            <w:vAlign w:val="bottom"/>
            <w:gridSpan w:val="17"/>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Board Meetings and Committees</w:t>
            </w:r>
          </w:p>
        </w:tc>
        <w:tc>
          <w:tcPr>
            <w:tcW w:w="2260" w:type="dxa"/>
            <w:vAlign w:val="bottom"/>
            <w:gridSpan w:val="2"/>
          </w:tcPr>
          <w:p>
            <w:pPr>
              <w:jc w:val="center"/>
              <w:ind w:left="207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of Directors Leadership Structure</w:t>
            </w:r>
          </w:p>
        </w:tc>
        <w:tc>
          <w:tcPr>
            <w:tcW w:w="5080" w:type="dxa"/>
            <w:vAlign w:val="bottom"/>
            <w:gridSpan w:val="8"/>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Board Role in Risk Oversight</w:t>
            </w:r>
          </w:p>
        </w:tc>
        <w:tc>
          <w:tcPr>
            <w:tcW w:w="5780" w:type="dxa"/>
            <w:vAlign w:val="bottom"/>
            <w:gridSpan w:val="13"/>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2260" w:type="dxa"/>
            <w:vAlign w:val="bottom"/>
            <w:gridSpan w:val="2"/>
          </w:tcPr>
          <w:p>
            <w:pPr>
              <w:jc w:val="center"/>
              <w:ind w:left="2070"/>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5280" w:type="dxa"/>
            <w:vAlign w:val="bottom"/>
            <w:gridSpan w:val="9"/>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Policy Prohibiting Pledging and Hedging</w:t>
            </w: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Timing of Certain Equity Awards</w:t>
            </w:r>
          </w:p>
        </w:tc>
        <w:tc>
          <w:tcPr>
            <w:tcW w:w="5020" w:type="dxa"/>
            <w:vAlign w:val="bottom"/>
            <w:gridSpan w:val="7"/>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640" w:type="dxa"/>
            <w:vAlign w:val="bottom"/>
            <w:gridSpan w:val="10"/>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3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Compensation of Directors</w:t>
            </w:r>
          </w:p>
        </w:tc>
        <w:tc>
          <w:tcPr>
            <w:tcW w:w="2260" w:type="dxa"/>
            <w:vAlign w:val="bottom"/>
            <w:gridSpan w:val="2"/>
          </w:tcPr>
          <w:p>
            <w:pPr>
              <w:jc w:val="center"/>
              <w:ind w:left="1990"/>
              <w:spacing w:after="0" w:line="196" w:lineRule="exact"/>
              <w:rPr>
                <w:sz w:val="20"/>
                <w:szCs w:val="20"/>
                <w:color w:val="auto"/>
              </w:rPr>
            </w:pPr>
            <w:r>
              <w:rPr>
                <w:rFonts w:ascii="Times New Roman" w:cs="Times New Roman" w:eastAsia="Times New Roman" w:hAnsi="Times New Roman"/>
                <w:sz w:val="18"/>
                <w:szCs w:val="18"/>
                <w:color w:val="0000EE"/>
                <w:w w:val="99"/>
              </w:rPr>
              <w:t>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w w:val="99"/>
              </w:rPr>
              <w:t>Proposal 2: To Ratify the Selection of Independent Registered Public Accounting Firm</w:t>
            </w:r>
          </w:p>
        </w:tc>
        <w:tc>
          <w:tcPr>
            <w:tcW w:w="2380" w:type="dxa"/>
            <w:vAlign w:val="bottom"/>
            <w:gridSpan w:val="2"/>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12</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Pre-Approval Policies and Procedures of Our Audit Committee</w:t>
            </w:r>
          </w:p>
        </w:tc>
        <w:tc>
          <w:tcPr>
            <w:tcW w:w="1380" w:type="dxa"/>
            <w:vAlign w:val="bottom"/>
            <w:gridSpan w:val="2"/>
          </w:tcPr>
          <w:p>
            <w:pPr>
              <w:spacing w:after="0"/>
              <w:rPr>
                <w:sz w:val="17"/>
                <w:szCs w:val="17"/>
                <w:color w:val="auto"/>
              </w:rPr>
            </w:pPr>
          </w:p>
        </w:tc>
        <w:tc>
          <w:tcPr>
            <w:tcW w:w="2380" w:type="dxa"/>
            <w:vAlign w:val="bottom"/>
            <w:gridSpan w:val="2"/>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Fee Disclosure</w:t>
            </w:r>
          </w:p>
        </w:tc>
        <w:tc>
          <w:tcPr>
            <w:tcW w:w="3760" w:type="dxa"/>
            <w:vAlign w:val="bottom"/>
            <w:gridSpan w:val="4"/>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Audit Committee Report</w:t>
            </w:r>
          </w:p>
        </w:tc>
        <w:tc>
          <w:tcPr>
            <w:tcW w:w="6840" w:type="dxa"/>
            <w:vAlign w:val="bottom"/>
            <w:gridSpan w:val="24"/>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14</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w w:val="99"/>
              </w:rPr>
              <w:t>Proposal 3: To Approve the First Amendment to the Company's Rights Agreement</w:t>
            </w:r>
          </w:p>
        </w:tc>
        <w:tc>
          <w:tcPr>
            <w:tcW w:w="2680" w:type="dxa"/>
            <w:vAlign w:val="bottom"/>
            <w:gridSpan w:val="3"/>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15</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Proposal 4: To Approve, By a Non-Binding Vote, The Company's Executive Compensation</w:t>
            </w: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18</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gridSpan w:val="3"/>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Executive Officers</w:t>
            </w:r>
          </w:p>
        </w:tc>
        <w:tc>
          <w:tcPr>
            <w:tcW w:w="5220" w:type="dxa"/>
            <w:vAlign w:val="bottom"/>
            <w:gridSpan w:val="26"/>
          </w:tcPr>
          <w:p>
            <w:pPr>
              <w:spacing w:after="0"/>
              <w:rPr>
                <w:sz w:val="24"/>
                <w:szCs w:val="24"/>
                <w:color w:val="auto"/>
              </w:rPr>
            </w:pPr>
          </w:p>
        </w:tc>
        <w:tc>
          <w:tcPr>
            <w:tcW w:w="2060" w:type="dxa"/>
            <w:vAlign w:val="bottom"/>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19</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19</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Executive Compensation</w:t>
            </w:r>
          </w:p>
        </w:tc>
        <w:tc>
          <w:tcPr>
            <w:tcW w:w="1040" w:type="dxa"/>
            <w:vAlign w:val="bottom"/>
            <w:gridSpan w:val="10"/>
          </w:tcPr>
          <w:p>
            <w:pPr>
              <w:spacing w:after="0"/>
              <w:rPr>
                <w:sz w:val="24"/>
                <w:szCs w:val="24"/>
                <w:color w:val="auto"/>
              </w:rPr>
            </w:pPr>
          </w:p>
        </w:tc>
        <w:tc>
          <w:tcPr>
            <w:tcW w:w="5780" w:type="dxa"/>
            <w:vAlign w:val="bottom"/>
            <w:gridSpan w:val="13"/>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20</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2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6080" w:type="dxa"/>
            <w:vAlign w:val="bottom"/>
            <w:gridSpan w:val="14"/>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7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460" w:type="dxa"/>
            <w:vAlign w:val="bottom"/>
            <w:gridSpan w:val="6"/>
          </w:tcPr>
          <w:p>
            <w:pPr>
              <w:spacing w:after="0"/>
              <w:rPr>
                <w:sz w:val="17"/>
                <w:szCs w:val="17"/>
                <w:color w:val="auto"/>
              </w:rPr>
            </w:pPr>
          </w:p>
        </w:tc>
        <w:tc>
          <w:tcPr>
            <w:tcW w:w="6080" w:type="dxa"/>
            <w:vAlign w:val="bottom"/>
            <w:gridSpan w:val="14"/>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3980" w:type="dxa"/>
            <w:vAlign w:val="bottom"/>
            <w:gridSpan w:val="5"/>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Security Ownership of Management and Certain Beneficial Owners</w:t>
            </w: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25</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3760" w:type="dxa"/>
            <w:vAlign w:val="bottom"/>
            <w:gridSpan w:val="4"/>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25</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Parties</w:t>
            </w:r>
          </w:p>
        </w:tc>
        <w:tc>
          <w:tcPr>
            <w:tcW w:w="5640" w:type="dxa"/>
            <w:vAlign w:val="bottom"/>
            <w:gridSpan w:val="10"/>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26</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9"/>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Communications</w:t>
            </w:r>
          </w:p>
        </w:tc>
        <w:tc>
          <w:tcPr>
            <w:tcW w:w="840" w:type="dxa"/>
            <w:vAlign w:val="bottom"/>
            <w:gridSpan w:val="9"/>
          </w:tcPr>
          <w:p>
            <w:pPr>
              <w:spacing w:after="0"/>
              <w:rPr>
                <w:sz w:val="17"/>
                <w:szCs w:val="17"/>
                <w:color w:val="auto"/>
              </w:rPr>
            </w:pPr>
          </w:p>
        </w:tc>
        <w:tc>
          <w:tcPr>
            <w:tcW w:w="5640" w:type="dxa"/>
            <w:vAlign w:val="bottom"/>
            <w:gridSpan w:val="10"/>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27</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Proposals of Stockholders</w:t>
            </w:r>
          </w:p>
        </w:tc>
        <w:tc>
          <w:tcPr>
            <w:tcW w:w="6480" w:type="dxa"/>
            <w:vAlign w:val="bottom"/>
            <w:gridSpan w:val="19"/>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27</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“Householding” of Proxy Statement and Annual Report</w:t>
            </w: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60" w:type="dxa"/>
            <w:vAlign w:val="bottom"/>
            <w:gridSpan w:val="20"/>
            <w:shd w:val="clear" w:color="auto" w:fill="0000EE"/>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2025 Annual Report</w:t>
            </w:r>
          </w:p>
        </w:tc>
        <w:tc>
          <w:tcPr>
            <w:tcW w:w="4620" w:type="dxa"/>
            <w:vAlign w:val="bottom"/>
            <w:gridSpan w:val="6"/>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Matters</w:t>
            </w:r>
          </w:p>
        </w:tc>
        <w:tc>
          <w:tcPr>
            <w:tcW w:w="440" w:type="dxa"/>
            <w:vAlign w:val="bottom"/>
            <w:gridSpan w:val="4"/>
          </w:tcPr>
          <w:p>
            <w:pPr>
              <w:spacing w:after="0"/>
              <w:rPr>
                <w:sz w:val="17"/>
                <w:szCs w:val="17"/>
                <w:color w:val="auto"/>
              </w:rPr>
            </w:pPr>
          </w:p>
        </w:tc>
        <w:tc>
          <w:tcPr>
            <w:tcW w:w="7180" w:type="dxa"/>
            <w:vAlign w:val="bottom"/>
            <w:gridSpan w:val="26"/>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gridSpan w:val="29"/>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Adjournments</w:t>
            </w: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594"/>
        </w:trPr>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517525</wp:posOffset>
            </wp:positionV>
            <wp:extent cx="1276985"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17500"/>
                    </a:xfrm>
                    <a:prstGeom prst="rect">
                      <a:avLst/>
                    </a:prstGeom>
                    <a:noFill/>
                  </pic:spPr>
                </pic:pic>
              </a:graphicData>
            </a:graphic>
          </wp:anchor>
        </w:drawing>
      </w: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3305 Flamingo Drive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Vero Beach, Florida 32963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(772) 231-1400</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TO BE HELD ON JUNE 9, 2026</w:t>
      </w:r>
    </w:p>
    <w:p>
      <w:pPr>
        <w:spacing w:after="0" w:line="2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Bimini Capital Management, Inc., a Maryland corporation, for use at our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or the "Meeting") to be held on June 9, 2026, at 8:00 a.m. Eastern Time at the principal executive office of Bimini Capital Management, Inc., 3305 Flamingo Drive, Vero Beach, Florida 32963, and for the purposes set forth in the accompanying Notice of Annual Meeting of Stockholders, and at any adjournment or postponement of the Annual Meeting. Unless the context requires otherwise, references in this proxy statement to “BMNM,” “Bimini,” “our company,” “we,” “us” and the “Company” refer to Bimini Capital Management, Inc.</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This proxy statement, the accompanying proxy card and our annual report to stockholders, which includes our annual report on Form 10-K with audited financial statements for the year ended December 31, 2025 (our “</w:t>
      </w:r>
      <w:r>
        <w:rPr>
          <w:rFonts w:ascii="Times New Roman" w:cs="Times New Roman" w:eastAsia="Times New Roman" w:hAnsi="Times New Roman"/>
          <w:sz w:val="18"/>
          <w:szCs w:val="18"/>
          <w:u w:val="single" w:color="auto"/>
          <w:color w:val="auto"/>
        </w:rPr>
        <w:t>2025 Annual Report</w:t>
      </w:r>
      <w:r>
        <w:rPr>
          <w:rFonts w:ascii="Times New Roman" w:cs="Times New Roman" w:eastAsia="Times New Roman" w:hAnsi="Times New Roman"/>
          <w:sz w:val="18"/>
          <w:szCs w:val="18"/>
          <w:color w:val="auto"/>
        </w:rPr>
        <w:t>”), are first being sent to our common stockholders on or about April 27, 2026.</w:t>
      </w:r>
    </w:p>
    <w:p>
      <w:pPr>
        <w:spacing w:after="0" w:line="172" w:lineRule="exact"/>
        <w:rPr>
          <w:sz w:val="20"/>
          <w:szCs w:val="20"/>
          <w:color w:val="auto"/>
        </w:rPr>
      </w:pPr>
    </w:p>
    <w:p>
      <w:pPr>
        <w:ind w:right="10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9, 2026:</w:t>
      </w:r>
    </w:p>
    <w:p>
      <w:pPr>
        <w:spacing w:after="0" w:line="157"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This proxy statement and our 2025 Annual Report are available on the Internet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 On this website, you will be able to access this proxy statement, our 2025 Annual Report, and any amendments or supplements to the foregoing material that are required to be furnished to stockholders.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action will be taken to:</w:t>
      </w:r>
    </w:p>
    <w:p>
      <w:pPr>
        <w:spacing w:after="0" w:line="225" w:lineRule="exact"/>
        <w:rPr>
          <w:sz w:val="20"/>
          <w:szCs w:val="20"/>
          <w:color w:val="auto"/>
        </w:rPr>
      </w:pPr>
    </w:p>
    <w:p>
      <w:pPr>
        <w:ind w:left="540" w:hanging="20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one Class II director, to hold office until the 2029 Annual Meeting of Stockholders and until his successor is elected and qualified;</w:t>
      </w:r>
    </w:p>
    <w:p>
      <w:pPr>
        <w:spacing w:after="0" w:line="36" w:lineRule="exact"/>
        <w:rPr>
          <w:rFonts w:ascii="Times New Roman" w:cs="Times New Roman" w:eastAsia="Times New Roman" w:hAnsi="Times New Roman"/>
          <w:sz w:val="18"/>
          <w:szCs w:val="18"/>
          <w:color w:val="auto"/>
        </w:rPr>
      </w:pPr>
    </w:p>
    <w:p>
      <w:pPr>
        <w:ind w:left="340" w:right="80" w:hanging="8"/>
        <w:spacing w:after="0" w:line="261" w:lineRule="auto"/>
        <w:tabs>
          <w:tab w:leader="none" w:pos="6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BDO USA, P.C. (“</w:t>
      </w:r>
      <w:r>
        <w:rPr>
          <w:rFonts w:ascii="Times New Roman" w:cs="Times New Roman" w:eastAsia="Times New Roman" w:hAnsi="Times New Roman"/>
          <w:sz w:val="18"/>
          <w:szCs w:val="18"/>
          <w:u w:val="single" w:color="auto"/>
          <w:color w:val="auto"/>
        </w:rPr>
        <w:t>BDO</w:t>
      </w:r>
      <w:r>
        <w:rPr>
          <w:rFonts w:ascii="Times New Roman" w:cs="Times New Roman" w:eastAsia="Times New Roman" w:hAnsi="Times New Roman"/>
          <w:sz w:val="18"/>
          <w:szCs w:val="18"/>
          <w:color w:val="auto"/>
        </w:rPr>
        <w:t>”) as our independent registered public accounting firm for the fiscal year ending December 31, 2026;</w:t>
      </w: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First Amendment to the Company's Rights Agreement; and</w:t>
      </w:r>
    </w:p>
    <w:p>
      <w:pPr>
        <w:spacing w:after="0" w:line="3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Company’s 2025 executive compensation.</w:t>
      </w:r>
    </w:p>
    <w:p>
      <w:pPr>
        <w:spacing w:after="0" w:line="26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At the discretion of the proxy holders, proxies may be voted on any other business that may properly come before the Annual Meeting or any adjournment or postponement of the Meeting.</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5" w:lineRule="exact"/>
        <w:rPr>
          <w:sz w:val="20"/>
          <w:szCs w:val="20"/>
          <w:color w:val="auto"/>
        </w:rPr>
      </w:pPr>
    </w:p>
    <w:p>
      <w:pPr>
        <w:ind w:right="8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This summary highlights certain information contained elsewhere in this proxy statement. This summary does not contain all of the information you should consider, and you should read the entire proxy statement carefully before voting.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Bimini Capital Management, Inc., a Maryland corporation, is a specialty finance company that operates in two business segments: (i) investing in mortgage-backed securities (“MBS”) and Orchid Island Capital, Inc. (“Orchid”) common stock in our own portfolio, and (ii) serving as the external manager of Orchid, which also invests in MBS. In both cases, the principal and interest payments of these MBS are guaranteed by the Federal National Mortgage Association (“Fannie Mae”), the Federal Home Loan Mortgage Corporation (“Freddie Mac”), or the Government National Mortgage Association (“Ginnie Mae”) and are backed primarily by single-family residential mortgage loans. We refer to these types of MBS as “Agency MBS.” Our investment strategy focuses on, and our portfolios primarily consist of, traditional pass-through Agency MBS, such as mortgage pass-through certificates and collateralized mortgage obligations, and structured Agency MBS, such as interest only securities, inverse interest-only securities, and principal only securities.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operations are classified into two principal reportable segments: the investment portfolio segment and the asset management segment.</w:t>
      </w:r>
    </w:p>
    <w:p>
      <w:pPr>
        <w:spacing w:after="0" w:line="22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investment portfolio segment includes the investment activities conducted by our wholly owned subsidiary, Royal Palm Capital, LLC (“Royal Palm”). The investment portfolio segment receives revenue in the form of interest and dividend income on its investments. References to the general management of the Company’s portfolio of MBS refer to the operations of Royal Palm.</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asset management segment includes the arrangement by which the Company, through Bimini Advisors, LLC, an investment advisor registered with the U.S. Securities and Exchange Commission (the “SEC”), serves as the external manager of Orchid. From this arrangement, the Company receives management fees and expense reimbursements. Bimini Advisors, LLC is a wholly owned subsidiary of Bimini Advisors Holdings, LLC, which is a wholly owned subsidiary of Royal Palm. Bimini Advisors Holdings, LLC and Bimini Advisors, LLC are collectively referred to as “Bimini Advisors.”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834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ITEMS OF BUSINESS AND VOTING RECOMMENDATIONS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Voting Items</w:t>
            </w:r>
          </w:p>
        </w:tc>
        <w:tc>
          <w:tcPr>
            <w:tcW w:w="21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0" w:type="dxa"/>
            <w:vAlign w:val="bottom"/>
          </w:tcPr>
          <w:p>
            <w:pPr>
              <w:spacing w:after="0"/>
              <w:rPr>
                <w:sz w:val="1"/>
                <w:szCs w:val="1"/>
                <w:color w:val="auto"/>
              </w:rPr>
            </w:pPr>
          </w:p>
        </w:tc>
      </w:tr>
      <w:tr>
        <w:trPr>
          <w:trHeight w:val="220"/>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To elect one Class II director to hold office until the 2029 Annual Meeting of Stockholders</w:t>
            </w:r>
          </w:p>
        </w:tc>
        <w:tc>
          <w:tcPr>
            <w:tcW w:w="21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To ratify the appointment of BDO USA, P.C. as the Company’s independent registered public accounting firm</w:t>
            </w:r>
          </w:p>
        </w:tc>
        <w:tc>
          <w:tcPr>
            <w:tcW w:w="214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2026</w:t>
            </w: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approve the First Amendment to the Company's Rights Agreement</w:t>
            </w:r>
          </w:p>
        </w:tc>
        <w:tc>
          <w:tcPr>
            <w:tcW w:w="21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approve, on an advisory basis, the Company’s 2025 executive compensation</w:t>
            </w:r>
          </w:p>
        </w:tc>
        <w:tc>
          <w:tcPr>
            <w:tcW w:w="21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Stockholders may be asked to consider any other business properly brought before the meeting or any adjournment or postponement thereof. The Board is not aware of any other business that might be brought before the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ADMISSION TO 2026 ANNUAL MEETING OF STOCKHOLDERS</w:t>
      </w:r>
    </w:p>
    <w:p>
      <w:pPr>
        <w:spacing w:after="0" w:line="225"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Stockholders as of the record date, April 16, 2026, will be entitled to vote. Each share of Class A Common Stock and Class B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on the record date is entitled to one vote for each share held.</w:t>
      </w:r>
    </w:p>
    <w:p>
      <w:pPr>
        <w:spacing w:after="0" w:line="15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Each stockholder's vote is important. Even if you plan to attend our Annual Meeting in person, please cast your vote as soon as possible via the Internet, by telephone, or by completing, signing, dating and returning your proxy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114300</wp:posOffset>
            </wp:positionV>
            <wp:extent cx="52324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240" cy="514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114300</wp:posOffset>
            </wp:positionV>
            <wp:extent cx="5143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114300</wp:posOffset>
            </wp:positionV>
            <wp:extent cx="51435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40"/>
        <w:spacing w:after="0"/>
        <w:tabs>
          <w:tab w:leader="none" w:pos="5080" w:val="left"/>
          <w:tab w:leader="none" w:pos="9120" w:val="left"/>
        </w:tabs>
        <w:rPr>
          <w:sz w:val="20"/>
          <w:szCs w:val="20"/>
          <w:color w:val="auto"/>
        </w:rPr>
      </w:pPr>
      <w:r>
        <w:rPr>
          <w:rFonts w:ascii="Times New Roman" w:cs="Times New Roman" w:eastAsia="Times New Roman" w:hAnsi="Times New Roman"/>
          <w:sz w:val="18"/>
          <w:szCs w:val="18"/>
          <w:color w:val="auto"/>
        </w:rPr>
        <w:t>INTERNET</w:t>
      </w:r>
      <w:r>
        <w:rPr>
          <w:sz w:val="20"/>
          <w:szCs w:val="20"/>
          <w:color w:val="auto"/>
        </w:rPr>
        <w:tab/>
      </w: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MAIL</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Check your </w:t>
      </w:r>
      <w:r>
        <w:rPr>
          <w:rFonts w:ascii="Times New Roman" w:cs="Times New Roman" w:eastAsia="Times New Roman" w:hAnsi="Times New Roman"/>
          <w:sz w:val="18"/>
          <w:szCs w:val="18"/>
          <w:i w:val="1"/>
          <w:iCs w:val="1"/>
          <w:color w:val="auto"/>
        </w:rPr>
        <w:t>proxy or voting instruction form</w:t>
      </w:r>
      <w:r>
        <w:rPr>
          <w:rFonts w:ascii="Times New Roman" w:cs="Times New Roman" w:eastAsia="Times New Roman" w:hAnsi="Times New Roman"/>
          <w:sz w:val="18"/>
          <w:szCs w:val="18"/>
          <w:color w:val="auto"/>
        </w:rPr>
        <w:t xml:space="preserve"> for the web address of our Internet voting site and toll-free telephone voting number.</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enclosed proxy is solicited by and on behalf of our Board. We will bear the expense of soliciting proxies for the Annual Meeting, including the mailing cost. In addition to solicitation by mail, our officers or an agent we designate may solicit proxies from stockholders by telephone, e-mail, or personal interview. Our officers receive no additional compensation for such services. Upon request, we will reimburse brokers, dealers, banks and trustees, or their nominees, for reasonable expenses they incur in forwarding our proxy materials to beneficial owners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16, 2026 as the record date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determining the holders of our Class A and Class B common stock entitled to receive notice of and to vote at the Annual Meeting and any adjournment or postponement. On the Record Date, there were 10,002,730 shares of our Class A Common Stock and 31,938 shares of our Class B Common Stock outstanding, representing the only classes of voting stock of the Company issued and outstanding as of such date. Each holder of Class A Common Stock and each holder of Class B Common Stock is entitled to cast one vote per share held on each matter that properly comes before the Annual Meeting, which may be given in person or by proxy duly authorized in writing by mail, telephone or the Internet. Holders of shares of Class A Common Stock and Class B Common Stock vote together as one class in all matters to be voted on at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If you hold shares of our Class A or Class B common stock in your own name as a holder of record, you may instruct the proxies to vote your shares through any of the following methods: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By Telephone or the Internet</w:t>
      </w:r>
      <w:r>
        <w:rPr>
          <w:rFonts w:ascii="Times New Roman" w:cs="Times New Roman" w:eastAsia="Times New Roman" w:hAnsi="Times New Roman"/>
          <w:sz w:val="18"/>
          <w:szCs w:val="18"/>
          <w:color w:val="auto"/>
        </w:rPr>
        <w:t>: Common stockholders can vote their shares via telephone or the Internet as instructed in the proxy card.</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A common stockholder may elect to vote by mail and should complete, sign and date the proxy card and mail it in the pre-addressed envelope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accompanies the delivery of the proxy card. For common stockholders of record, proxy cards submitted by mail must be received by the date and time of the Annual Meeting. For common stockholders that hold their shares through an intermediary, such as a broker, bank or other nominee, the voting instruction form submitted by mail must be mailed by the deadline imposed by your bank, broker or other agent for your shares to be voted.</w:t>
      </w:r>
    </w:p>
    <w:p>
      <w:pPr>
        <w:spacing w:after="0" w:line="180"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Person</w:t>
      </w:r>
      <w:r>
        <w:rPr>
          <w:rFonts w:ascii="Times New Roman" w:cs="Times New Roman" w:eastAsia="Times New Roman" w:hAnsi="Times New Roman"/>
          <w:sz w:val="18"/>
          <w:szCs w:val="18"/>
          <w:color w:val="auto"/>
        </w:rPr>
        <w:t>: Shares of common stock held in your name as the stockholder of record may be voted by you in person at the Annual Meeting.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held beneficially in street name may be voted by you in person at the Annual Meeting only if you obtain a “legal” proxy from the broker or other agent that holds your shares giving you the right to vote the shares and bring that “legal” proxy to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 quorum will be present at the Annual Meeting if the holders of a majority of the outstanding shares entitled to vote are present, in person or by proxy. If you have returned valid voting instructions or if you hold your shares in your own name as a holder of record and attend the Annual Meeting in person with your proxy, your shares will be counted for the purpose of determining whether there is a quorum. If a quorum is not present, the Annual Meeting may be postponed or adjourned until a quorum has been obtained. Because there were 10,002,730 shares eligible to vote at the Annual Meeting as of the Record Date, we will need at least 5,001,366 eligible shares present in person or by proxy at the Annual Meeting for a quorum to exist.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Abstentions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 Non-Votes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20" w:firstLine="324"/>
        <w:spacing w:after="0" w:line="289" w:lineRule="auto"/>
        <w:rPr>
          <w:sz w:val="20"/>
          <w:szCs w:val="20"/>
          <w:color w:val="auto"/>
        </w:rPr>
      </w:pPr>
      <w:r>
        <w:rPr>
          <w:rFonts w:ascii="Times New Roman" w:cs="Times New Roman" w:eastAsia="Times New Roman" w:hAnsi="Times New Roman"/>
          <w:sz w:val="17"/>
          <w:szCs w:val="17"/>
          <w:color w:val="auto"/>
        </w:rPr>
        <w:t>A “broker non-vote” occurs when a broker, bank or other nominee holding shares of common stock on your behalf votes the shares on some matters but not others because that holder does not have discretionary voting power for that particular item and has not received instructions from the beneficial owner. Pursuant to Maryland law, abstentions and broker non-votes are counted as present for purposes of determining the presence of a quorum.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Brokerage firms may have the discretionary authority to vote their customers’ shares on certain routine matters for which they do not receive voting instructions, including the ratification of the independent registered public accounting firm. The other proposals included in this proxy statement are not considered “routine” matters, and therefore brokers holding shares beneficially owned by their clients do not have the ability to cast votes, unless the brokers have received instructions from the beneficial owners of the shares. As a result, it is important that you provide instructions to your broker so that your shares will be counted in those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an Item of Business</w:t>
      </w:r>
    </w:p>
    <w:p>
      <w:pPr>
        <w:spacing w:after="0" w:line="227" w:lineRule="exact"/>
        <w:rPr>
          <w:sz w:val="20"/>
          <w:szCs w:val="20"/>
          <w:color w:val="auto"/>
        </w:rPr>
      </w:pPr>
    </w:p>
    <w:p>
      <w:pPr>
        <w:ind w:right="3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Election of Class II Director (Proposal 1)</w:t>
      </w:r>
      <w:r>
        <w:rPr>
          <w:rFonts w:ascii="Times New Roman" w:cs="Times New Roman" w:eastAsia="Times New Roman" w:hAnsi="Times New Roman"/>
          <w:sz w:val="18"/>
          <w:szCs w:val="18"/>
          <w:color w:val="auto"/>
        </w:rPr>
        <w:t>. The affirmative vote of a plurality of the votes cast at the Meeting, assuming a quorum is present,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for the election of directors. For purposes of Proposal 1, abstentions and broker non-votes will not be counted as votes cast and will have no effect on the result of the vote.</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Ratification of Appointment of BDO (Proposal 2)</w:t>
      </w:r>
      <w:r>
        <w:rPr>
          <w:rFonts w:ascii="Times New Roman" w:cs="Times New Roman" w:eastAsia="Times New Roman" w:hAnsi="Times New Roman"/>
          <w:sz w:val="18"/>
          <w:szCs w:val="18"/>
          <w:color w:val="auto"/>
        </w:rPr>
        <w:t>. The affirmative vote of a majority of the votes cast at the Meeting, assuming a quorum is present,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ratify the appointment of BDO as our independent registered public accounting firm for the year ending December 31, 2026. For purposes of the vote on Proposal 2, abstentions and broker non-votes, if any, will not be counted as votes cast and will have no effect on the result of the vote. No broker non-votes are expected in connection with Proposal 2.</w:t>
      </w:r>
    </w:p>
    <w:p>
      <w:pPr>
        <w:spacing w:after="0" w:line="180" w:lineRule="exact"/>
        <w:rPr>
          <w:sz w:val="20"/>
          <w:szCs w:val="20"/>
          <w:color w:val="auto"/>
        </w:rPr>
      </w:pPr>
    </w:p>
    <w:p>
      <w:pPr>
        <w:ind w:right="2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Approval of the First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Rights Agreement (Proposal 3)</w:t>
      </w:r>
      <w:r>
        <w:rPr>
          <w:rFonts w:ascii="Times New Roman" w:cs="Times New Roman" w:eastAsia="Times New Roman" w:hAnsi="Times New Roman"/>
          <w:sz w:val="18"/>
          <w:szCs w:val="18"/>
          <w:color w:val="auto"/>
        </w:rPr>
        <w:t>. The affirmative vote of a majority of all of the votes cast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assuming a quorum is present, is required to approve the First Amendment to the Company’s Rights Agreement. For purposes of the vote on Proposal 3, abstentions and broker non-votes will not be counted as votes cast and will have no effect on the result of the vote.</w:t>
      </w:r>
    </w:p>
    <w:p>
      <w:pPr>
        <w:spacing w:after="0" w:line="17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Approval of the Company's 2025 Executive Compensation (Proposal 4)</w:t>
      </w:r>
      <w:r>
        <w:rPr>
          <w:rFonts w:ascii="Times New Roman" w:cs="Times New Roman" w:eastAsia="Times New Roman" w:hAnsi="Times New Roman"/>
          <w:sz w:val="18"/>
          <w:szCs w:val="18"/>
          <w:color w:val="auto"/>
        </w:rPr>
        <w:t>. The affirmative vote of a majority of the votes cast at the Meeting, assuming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quorum is present, is required to approve the Company's 2025 executive compensation on an advisory basis. For purposes of the vote on Proposal 4, abstentions and broker non-votes will not be counted as votes cast and will have no effect on the result of the vote.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sign and return your proxy card without giving specific voting instructions, your shares will be voted as recommended by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Revoke Proxy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You have the right to revoke your proxy at any time before the Annual Meeting. If you are a holder of record, you may contact our corporate secretary and request that another proxy card be sent to you. Alternatively, you may use the Internet or the telephone to authorize a new proxy and revoke your old proxy, even if you previously mailed in a proxy card. The latest-dated, properly completed proxy that you submit, whether through the Internet, by telephone, by mail, or at the Annual Meeting, will count as your vote. Please note that if you submit a later proxy authorization by mail, your reauthorization will not be effective unless it is received by our corporate secretary prior to the start of the Annual Meeting. Attendance at the Annual Meeting will not by itself constitute revocation of a previously submitted, properly completed proxy. If your shares are held in street name, you must contact your bank, broker or other nominee and follow their procedures for changing your vote instructions.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ELECTION OF CLASS II DIRECTOR</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One candidate is nominated for election as a Class II director to serve until the 2029 Annual Meeting of Stockholders and until his successor has been duly elected and qualified, or until his earlier retirement, death or resignation. It is intended that the shares represented by each proxy for which no voting instructions have been given will be voted for the nominee for director set forth below. The principal occupation of, and certain other information regarding, the Class II director nominee and our continuing directors, as of April 16, 2026, are set forth below. If the nominee is unable to serve, the shares represented by all valid proxies that have not been revoked will be voted for the election of a substitute nominee selected by the Board, or the Board may by resolution reduce the size of the Board to eliminate the resulting vacancy. At this time, the Board knows of no reason why the nominee might be unable to serve.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u w:val="single" w:color="auto"/>
          <w:color w:val="auto"/>
        </w:rPr>
        <w:t>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ELECTION OF CLASS II DIRECTOR NOMINEES.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CLASS II DIRECTOR NOMINEE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EXPIRES IN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E. CAULEY, CFA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August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67</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Robert E. Cauley has served as Chairman of the Board and Chief Executive Officer of the Company since 2008 and is one of the Company’s founders. He served as Chief Financial Officer and Chief Investment Officer of the Company from 2003 to 2008. He has also served as Chairman, President and Chief Executive Officer of Orchid (NYSE: ORC) since its formation in August 2010. Orchid invests in residential mortgage backed securities, and it is externally managed and advised by a wholly owned subsidiary of the Company. Prior to co-founding the Company, he was Vice President, Portfolio Manager at Federated Investment Management Company in Pittsburgh, Pennsylvania, where, from 1996 until September 2003, he served as a lead portfolio manager, co-manager, or assistant portfolio manager of $4.25 billion (base capital, unlevered amount) in mortgage and asset backed securities funds. From 1994 to 1996, he was an associate at Lehman Brothers in the asset-backed structuring group. From 1992 to 1994, he was a credit analyst in the highly levered firms group and the aerospace group at Barclay’s Bank. Mr. Cauley has invested in, researched, or structured almost every type of mortgage-backed security. Mr. Cauley, who is a CFA and a CPA, received his MSIA in finance and economics from Carnegie Mellon University and his BA in accounting from California State University, Fullerton. Mr. Cauley served in the United States Marine Corps for four years.</w:t>
      </w:r>
    </w:p>
    <w:p>
      <w:pPr>
        <w:spacing w:after="0" w:line="19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Mr. Cauley brings to our Board in-depth knowledge of investing in fixed income securities, particularly mortgage-backed securities. Twenty years of his fixed income investing experience has been within the context of a REIT. Mr. Cauley has experience in significant leadership positions within the Company, including as the current CEO and as the former CFO and CIO, which allows him to provide the Board with strategic insights. Mr. Cauley also has an in-depth understanding of accounting issues, as well as experience in the mortgage-backed securities field prior to joining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CONTINUING CLASS I DIRECTOR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EXPIRES IN 2028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ASHLEY B. GRIFFITH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53</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Ashley Griffith is currently a Director in Institutional Sales at Hovde Group, a boutique investment banking firm focused on the community and regional banking sector. He has held this position since early 2024. He has spent most of his 25+ year career in institutional sales at various investment banking firms, focused mostly on the financial sector. Prior to joining Hovde Group, he served as Managing Director – Institutional Sales of Compass Point Research and Trading (2020-2024), and at Sandler O’Neill, Evercore and Fox-Pitt, Kelton. Earlier in his career, Mr. Griffith worked in sell-side equity research focusing on the banking and media &amp; entertainment sectors. Mr. Griffith graduated from Hobart College with a bachelor’s degree in Math.</w:t>
      </w:r>
    </w:p>
    <w:p>
      <w:pPr>
        <w:spacing w:after="0" w:line="183"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Mr. Griffith provides our Board with extensive knowledge of capital markets, investor relations, and the financial institutions that are central to the Company’s business. Mr. Griffith’s background in investment banking with a focus on financial services companies, combined with his longstanding relationships with institutional investors, enables him to offer the Board valuable perspective on market dynamics, stockholder engagement, and the competitive landscape in which the Company operates.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Griffith is the son-in-law of Robert J. Dwyer, a Class III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xml:space="preserve">CONTINUING CLASS III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EXPIRES IN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J. DWYER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August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82</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Robert J. Dwyer retired from Morgan Stanley Dean Witter in 1999 as Executive Vice President-National Sales Director, having served in that role from 1990 until his retirement. Prior to that, Mr. Dwyer was Director of Taxable Fixed Income for Morgan Stanley Dean Witter. He serves on the Board of Directors of (i) the Bank of New York Optima Fund, and (ii) MasTec, Inc. (since October 2004, currently as the lead independent director and on the Finance, Compensation and Governance Committees, with past service as chairman of the Audit Committee). Mr. Dwyer has over 40 years of experience in financial markets, capital markets, and mergers and acquisitions. Mr. Dwyer has numerous charitable and civic interests. He currently serves on the investment committee for the Vincentian Order. He also is Chairman of the Dwyer Family Foundation, which supports a number of health and social programs. He has previously served as Chairman of the Board of Trustees for Niagara University.</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Mr. Dwyer provides our Board with significant experience in investment banking and corporate finance matters. Mr. Dwyer’s service on the boards and investment committees of other entities also allows him to provide insight on corporate governance matters and financing transactions.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Dwyer is the father-in-law of Ashley Griffith, a Class I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H. HAAS,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January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49</w:t>
      </w:r>
    </w:p>
    <w:p>
      <w:pPr>
        <w:spacing w:after="0" w:line="20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George H. Haas, IV has been the President, Chief Investment Officer and Chief Financial Officer of the Company since April 2008. He has served as a director and as the Chief Financial Officer and Chief Investment Officer of Orchid since August 2010. Prior to assuming his current roles with the Company, Mr. Haas was the Company’s Senior Vice President and Head of Research and Trading. Mr. Haas joined the Company in May 2004 as Vice President and Head of Mortgage Research. He has over 23 years of experience in this industry and has managed trading operations for the portfolio since his arrival in May 2004. Mr. Haas has approximately 14 years of experience as a member of senior management of a public REIT. Prior to joining the Company, Mr. Haas worked in the mortgage industry at both National City Mortgage and Homeside Lending, Inc. Prior to December 2001, Mr. Haas attended Oklahoma State University, where he received his MS in Economics.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we have implemented effective corporate governance policies and observe good corporate governance procedures and practices. We have adopted a number of written policies, including corporate governance guidelines, a code of business conduct and ethics, a code of ethics for senior financial officers, a whistleblower policy and charters for our Audit Committee, Compensation Committee and Corporate Governance and Nominating Committee. These policies can be found on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 xml:space="preserve"> and will be made available in print to any stockholder upon written request delivered to our corporate secretary at Bimini Capital Management, Inc., 3305 Flamingo Drive, Vero Beach, Florida 32963. The information on our website is not a part of this proxy statement.</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229" w:lineRule="exact"/>
        <w:rPr>
          <w:sz w:val="20"/>
          <w:szCs w:val="20"/>
          <w:color w:val="auto"/>
        </w:rPr>
      </w:pPr>
    </w:p>
    <w:p>
      <w:pPr>
        <w:ind w:left="1380" w:hanging="333"/>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appointed a Lead Independent Director.</w:t>
      </w:r>
    </w:p>
    <w:p>
      <w:pPr>
        <w:spacing w:after="0" w:line="27"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conduct executive sessions.</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maintain open communication and strong working relationships among themselves and regular access to management.</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conduct annual Board and committee self-assessments.</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executives are prohibited from pledging, hedging, or engaging in short sales of our securities.</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the election of directors in uncontested elections.</w:t>
      </w:r>
    </w:p>
    <w:p>
      <w:pPr>
        <w:spacing w:after="0" w:line="9" w:lineRule="exact"/>
        <w:rPr>
          <w:rFonts w:ascii="Times New Roman" w:cs="Times New Roman" w:eastAsia="Times New Roman" w:hAnsi="Times New Roman"/>
          <w:sz w:val="18"/>
          <w:szCs w:val="18"/>
          <w:color w:val="auto"/>
        </w:rPr>
      </w:pPr>
    </w:p>
    <w:p>
      <w:pPr>
        <w:ind w:left="1380" w:right="140" w:hanging="333"/>
        <w:spacing w:after="0" w:line="250"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members and senior management attend seminars conducted by industry experts covering accounting, corporate governance and legal issues.</w:t>
      </w:r>
    </w:p>
    <w:p>
      <w:pPr>
        <w:ind w:left="1380" w:hanging="333"/>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maintains a Confidential Whistleblower Policy.</w:t>
      </w:r>
    </w:p>
    <w:p>
      <w:pPr>
        <w:spacing w:after="0" w:line="9" w:lineRule="exact"/>
        <w:rPr>
          <w:rFonts w:ascii="Times New Roman" w:cs="Times New Roman" w:eastAsia="Times New Roman" w:hAnsi="Times New Roman"/>
          <w:sz w:val="18"/>
          <w:szCs w:val="18"/>
          <w:color w:val="auto"/>
        </w:rPr>
      </w:pPr>
    </w:p>
    <w:p>
      <w:pPr>
        <w:ind w:left="1380" w:right="420" w:hanging="333"/>
        <w:spacing w:after="0" w:line="250"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Internalized certain repurchase agreement trading, clearing and related administrative services, which provide the Company greater control over these processes and enhance risk oversight over these functions.</w:t>
      </w:r>
    </w:p>
    <w:p>
      <w:pPr>
        <w:ind w:left="1380" w:right="280" w:hanging="333"/>
        <w:spacing w:after="0" w:line="260"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our third-party cybersecurity advisor, we prepared an Information Security Incident Response Plan as part of our continuing efforts to mitigate and manage the Company’s risks.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Board of Directors Composition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Members of our Board of Directors are kept informed of our business through discussions with our Chairman and CEO and other officers and by reviewing materials provided to them, and participating in regular meetings of our Board of Directors and its committees. The Board of Directors is currently comprised of four directors divided into three classes. Terms of the classes are staggered, with one class standing for election each year and serving for a three-year term. The Board is elected by our stockholders to oversee management of the Company in the long-term interests of all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Pursuant to SEC rules, boards of directors of publicly held companies are required to affirmatively determine and disclose the independence of each director and nominee for election as a director based on the director independence standards of the relevant national securities exchange or inter-dealer quotation system on which their companies’ shares are traded. Although the Company is not currently listed on any such exchange and its securities are not currently quoted in any inter-dealer quotation system, the Board has determined to use the definition of “independent director” set forth in the listing standards of The Nasdaq Stock Market, LLC. (the “Marketplace Rules”). Based on that definition, the Board has affirmatively determined that the following directors are “independent” within the meaning of Rule 5605(a)(2) of the Marketplace Rules:</w:t>
      </w: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Robert J. Dwyer</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Ashley B. Griffith</w:t>
      </w:r>
    </w:p>
    <w:p>
      <w:pPr>
        <w:spacing w:after="0" w:line="20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making this determination, the Board considered the familial relationship between Messrs. Dwyer and Griffith (as father-in-law and son-in-law). In addition, the Board has determined that neither Robert E. Cauley nor George H. Haas is “independent” for purposes of the Marketplace Rules because they are officers and employees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currently has three standing committees: the Audit Committee, the Compensation Committee and the Corporate Governance and Nominating Committee. The charter of each Board committee is available on the Corporate Governance section of our website at </w:t>
      </w:r>
      <w:r>
        <w:rPr>
          <w:rFonts w:ascii="Times New Roman" w:cs="Times New Roman" w:eastAsia="Times New Roman" w:hAnsi="Times New Roman"/>
          <w:sz w:val="18"/>
          <w:szCs w:val="18"/>
          <w:i w:val="1"/>
          <w:iCs w:val="1"/>
          <w:color w:val="auto"/>
        </w:rPr>
        <w:t xml:space="preserve">https://ir.biminicapital.com </w:t>
      </w:r>
      <w:r>
        <w:rPr>
          <w:rFonts w:ascii="Times New Roman" w:cs="Times New Roman" w:eastAsia="Times New Roman" w:hAnsi="Times New Roman"/>
          <w:sz w:val="18"/>
          <w:szCs w:val="18"/>
          <w:color w:val="auto"/>
        </w:rPr>
        <w:t>and will be made available in print to any stockholder upon written request delivered to our corporate secretary at Bimini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Management, Inc., 3305 Flamingo Drive, Vero Beach, Florida 32963.</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composition of each of the Board of Director’s standing committees as of April 16, 2026 and the number of meetings held during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Governance and</w:t>
            </w:r>
          </w:p>
        </w:tc>
      </w:tr>
      <w:tr>
        <w:trPr>
          <w:trHeight w:val="238"/>
        </w:trPr>
        <w:tc>
          <w:tcPr>
            <w:tcW w:w="282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3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3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Nominating</w:t>
            </w: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Dwyer</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Ashley B. Griffith</w:t>
            </w:r>
          </w:p>
        </w:tc>
        <w:tc>
          <w:tcPr>
            <w:tcW w:w="2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Meetings</w:t>
            </w:r>
          </w:p>
        </w:tc>
        <w:tc>
          <w:tcPr>
            <w:tcW w:w="260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9</w:t>
            </w:r>
          </w:p>
        </w:tc>
        <w:tc>
          <w:tcPr>
            <w:tcW w:w="29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6</w:t>
            </w:r>
          </w:p>
        </w:tc>
        <w:tc>
          <w:tcPr>
            <w:tcW w:w="2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 of Committee</w:t>
            </w:r>
          </w:p>
        </w:tc>
        <w:tc>
          <w:tcPr>
            <w:tcW w:w="2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of Committee</w:t>
            </w: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-796925</wp:posOffset>
            </wp:positionV>
            <wp:extent cx="85725"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-796925</wp:posOffset>
            </wp:positionV>
            <wp:extent cx="8572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-796925</wp:posOffset>
            </wp:positionV>
            <wp:extent cx="8572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-650875</wp:posOffset>
            </wp:positionV>
            <wp:extent cx="8572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8572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8572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17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our Board of Directors held 12 meetings. During 2025, each of our directors attended all meetings of the Board and any committee(s) of the Board on which he served. Directors are expected to attend all meetings of the Board, meetings of committees on which they serve, and annual meetings of stockholders. All of our directors attended the 2025 annual meeting, and all of our directors are expected to attend the Annual Meeting this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Messrs. Dwyer and Griffith are the members of our Audit Committee, with Mr. Dwyer serving as chair of the committee. The Board of Directors has determined that each of Messrs. Dwyer and Griffith, (i) qualifies as an “audit committee financial expert,” as that term is defined in the SEC rules and regulations; (ii) is financially literate and able to read and understand fundamental financial statements; and (iii) is independent, as defined in Rule 10A-3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for purposes of service on the Audit Committee. The Audit Committee assists our Board of Directors in overseeing:</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audits of our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our independent registered public accounting firm;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registered public accounting firm and any internal auditors.</w:t>
      </w:r>
    </w:p>
    <w:p>
      <w:pPr>
        <w:spacing w:after="0" w:line="20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is also responsible for engaging our independent registered public accounting firm, reviewing with the independent registered public accounting firm the plans and results of the audit engagement, approving professional services provided by the independent registered public accounting firm, reviewing the independence of the independent registered public accounting firm, considering the range of audit and non-audit fees and reviewing the adequacy of our internal accounting controls. The Audit Committee’s purpose and responsibilities are more fully set forth in its charter, which is available in the Corporate Governance section of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Mr. Dwyer is the chair and sole member of the Compensation Committee. The Compensation Committee exercises all powers delegated to it by the Board of Directors in connection with compensation matters, which include reviewing our overall executive officer and director compensation structure, policies and programs, making determinations as to appropriate levels of executive officer compensation, administering the issuance of any equity awards and making recommendations to the Board of Directors with respect to our incentive compensation plans and equity-based plans and other compensation-related matters. The Compensation Committee’s purpose and responsibilities are more fully set forth in its charter, which is available in the Corporate Governance section of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Mr. Dwyer is the chair and sole member of the Corporate Governance and Nominating Committee, which is responsible for seeking, considering and recommending to our full Board of Directors qualified candidates for election as directors and recommending a slate of nominees for election as directors at the Annual Meeting. It also periodically prepares and submits the committee’s selection criteria for director nominees to our Board of Directors for adoption. It reviews and makes recommendations on matters involving the general operation of our Board of Directors and our corporate governance, and annually recommends to our Board of Directors nominees for each committee of our Board of Directors. In addition, the committee annually facilitates the assessment of our Board of Directors’ performance as a whole and of the individual directors and reports thereon to our Board of Directors.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Before each annual meeting of stockholders, the Corporate Governance and Nominating Committee considers the nomination of all incumbent directors whose terms expire at the next annual meeting of stockholders. It also considers new candidates whenever there is a vacancy on the Board or whenever a vacancy is anticipated due to a change in the size or composition of the Board, a retirement of a director or for any other reason. The committee identifies director candidates based on recommendations from directors, stockholders, management and others. A stockholder who wishes to recommend a candidate for director of the Company may write to Chair, Corporate Governance and Nominating Committee of the Board of Directors, in care of our corporate secretary at Bimini Capital Management, Inc., 3305 Flamingo Drive, Vero Beach, Florida 32963. The committee will consider recommendations from stockholders on the same basis as other recommendations.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 w:name="page12"/>
    <w:bookmarkEnd w:id="11"/>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evaluating candidates for members of the Board, the Corporate Governance and Nominating Committee has not established specific minimum qualification standards, but rather takes into consideration such factors as it deems appropriate. These factors may include judgment, skill, diversity, experience with businesses and other organizations of comparable size, the interplay of the candidate’s experience with the experience of other Board members, and the extent to which the candidate would be a desirable addition to the Board and any committees of the Board. We do not have a formal policy concerning diversity, but the Corporate Governance and Nominating Committee does consider certain types of diversity when nominating director candidates to the Board, including differences of viewpoint, professional experience, education, skill, other personal qualities and attributes, race, gender and national origin. The nominee for the Board of Directors in this proxy statement was nominated by the Corporate Governance and Nominating Committee.</w:t>
      </w:r>
    </w:p>
    <w:p>
      <w:pPr>
        <w:spacing w:after="0" w:line="19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Corporate Governance and Nominating Committee’s purpose and responsibilities are more fully set forth in its charter, which is available in the Corporate Governance section of our website at https://ir.biminicapital.com.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believes it should maintain flexibility to select the Chairman of the Board and the CEO based on criteria and qualifications that the Board deems to be in the best interests of the Company. At this time, the positions of Chairman of the Board and CEO are combined. Robert E. Cauley holds these positions and leads our Board of Directors meetings. The Board believes Mr. Cauley’s extensive experience and knowledge regarding the Company’s business positions him to provide the most effective and competent leadership of the Company and the Board. As a founding officer of the Company, Mr. Cauley has the familiarity and expertise to best understand opportunities and risks facing the Company, and the Board believes that he is in the best position to lead both the Company and the Board.</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Company’s lead independent director is Robert J. Dwyer. Mr. Dwyer is the chair of the Company’s existing Board Committees, and in that capacity, he is able to call meetings, set agendas and direct the attention of those Committees on a wide range of corporate matters. Given the nature and scope of the Company’s current operations, the Company’s small management team and the limited number of Company employees, the Board believes that the Company’s current leadership structure is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as a whole has responsibility for risk oversight, with reviews of certain areas being conducted by the relevant Board committees. The Audit Committee oversees management of financial risks and risks relating to potential conflicts of interest. The Compensation Committee is responsible for overseeing the management of risks relating to compensation arrangements. The Corporate Governance and Nominating Committee manages risks associated with the size, composition and independence of the Board of Directors. These committees provide reports periodically to the full Board of Directors. The oversight responsibility of the Board of Directors and its committees is supported by management reporting processes that are designed to provide visibility to the Board of Directors about the identification, assessment and management of critical risks. These areas of focus include strategic, operational, financial and reporting, compensation, cybersecurity and information technology, legal and compliance and other risks. The management reporting process includes regular reports from the CEO, which are provided with input from the senior management team.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is applicable to all of our officers, directors and employees, if any. We have also adopted a Code of Ethics for Senior Financial Officers that is applicable to our principal executive officer, principal financial officer, principal accounting officer or controller, or persons performing similar functions. Our Code of Business Conduct and Ethics and our Code of Ethics for Senior Financial Officers may be accessed from the Corporate Governance section of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 xml:space="preserve"> and will be made available in print to any stockholder upon written request delivered to our corporate secretary at Bimini Capital Management, Inc., 3305 Flamingo Drive, Vero Beach, Florida 32963. We intend to disclose any waivers from, or amendments to, our Code of Business Conduct and Ethics and our Code of Ethics for Senior Financial Officers required to be disclosed by applicable law or stock exchange listing standards by posting a description of such waiver or amendment on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an insider trading policy that governs the purchase and sale or other disposition of our securities by our directors, officers, and employees. Our insider trading policy is designed to promote compliance with insider trading laws, rules and regulations, and any applicable listing standards. Among other things, the insider trading policy (i) prohibits trading in our securities, as well as securities of Orchid or any other company, by persons covered by the policy when in possession of material non-public information; and (ii) provides for special trading procedures, including certain “blackout period” restrictions and preapproval requirements, designed to minimize the chances of any trading transactions that could constitute violations of the securities laws, or which could create the appearance of being a violation. The full text of our insider trading policy was filed as Exhibit 19.1 to our 2025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Pledging and Hedging</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prohibits directors and employees from selling the Company’s stock short. This type of activity is inherently speculative in nature and is contrary to the best interests of the Company and its stockholders. The Company also prohibits employees and directors from purchasing Company securities or Orchid Island securities on margin or holding Company or Orchid Island securities in a margin account.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Certain Equity Awards</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2025, we did not grant any stock options, stock appreciation rights, or similar awards. We do not currently plan to grant any such awards in the future. Accordingly, we do not have a policy or practice related to the timing or the determination of the terms of grants of options or other similar awards in relation to the disclosure of material non-public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Management and Board of Directors place a high priority on maintaining security over our financial information that can be accessed via the Internet. Our information technology team attempts to maintain a state-of-the-art cyber security system and stay up to date on the latest threats and counter measures available. Management has had the information technology team make formal presentations to our Board of Directors and Audit Committee annually to keep the Board apprised of the level of cyber security that exists to protect our financial information and the latest threats that have emerged. Our information technology team attends continuing education seminars provided by leading security and software providers in the industry and receives timely alerts to any new viruses or cyber threats as they occur. We are not aware of any material security breach to date. Accordingly, we have not incurred any expenses over the last three years on information security breaches.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Directors who are not also employees of the Company are paid compensation in exchange for their service as a director. Director compensation is reviewed periodically by the Board to ensure such compensation is reasonable and appropriate. Directors who are also employees of the Company are not separately compensated for their service as directors.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non-employee director compensation for 2025 consisted of annual cash retainers as set forth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cash retainer</w:t>
            </w:r>
          </w:p>
        </w:tc>
        <w:tc>
          <w:tcPr>
            <w:tcW w:w="34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202,500</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Audit Committee Chair Retainer</w:t>
            </w:r>
          </w:p>
        </w:tc>
        <w:tc>
          <w:tcPr>
            <w:tcW w:w="34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6,000</w:t>
            </w: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Committee Chair</w:t>
            </w:r>
          </w:p>
        </w:tc>
        <w:tc>
          <w:tcPr>
            <w:tcW w:w="34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6,000</w:t>
            </w: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Corporate Governance and Nominating Committee Chair</w:t>
            </w:r>
          </w:p>
        </w:tc>
        <w:tc>
          <w:tcPr>
            <w:tcW w:w="34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6,000</w:t>
            </w:r>
          </w:p>
        </w:tc>
      </w:tr>
    </w:tbl>
    <w:p>
      <w:pPr>
        <w:spacing w:after="0" w:line="176" w:lineRule="exact"/>
        <w:rPr>
          <w:sz w:val="20"/>
          <w:szCs w:val="20"/>
          <w:color w:val="auto"/>
        </w:rPr>
      </w:pPr>
    </w:p>
    <w:p>
      <w:pPr>
        <w:jc w:val="both"/>
        <w:ind w:right="360" w:firstLine="324"/>
        <w:spacing w:after="0" w:line="289" w:lineRule="auto"/>
        <w:rPr>
          <w:sz w:val="20"/>
          <w:szCs w:val="20"/>
          <w:color w:val="auto"/>
        </w:rPr>
      </w:pPr>
      <w:r>
        <w:rPr>
          <w:rFonts w:ascii="Times New Roman" w:cs="Times New Roman" w:eastAsia="Times New Roman" w:hAnsi="Times New Roman"/>
          <w:sz w:val="17"/>
          <w:szCs w:val="17"/>
          <w:color w:val="auto"/>
        </w:rPr>
        <w:t>Additionally, each independent director receives reimbursement for travel and hotel expenses associated with attending such Board and committee meetings, as well as for his attendance at other meetings or events related to the Company. Non-employee directors may also be reimbursed for out-of-pocket expenses incurred in attending conferences or educational seminars that relate to their Board service. These retainer fees are paid quarterly.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non-employee directors during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04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Dwyer</w:t>
            </w:r>
          </w:p>
        </w:tc>
        <w:tc>
          <w:tcPr>
            <w:tcW w:w="5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220,500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220,500</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Frank E. Jaumot(1)</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202,500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Ashley B. Griffith(2)</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30,598</w:t>
            </w:r>
          </w:p>
        </w:tc>
      </w:tr>
    </w:tbl>
    <w:p>
      <w:pPr>
        <w:spacing w:after="0" w:line="189" w:lineRule="exact"/>
        <w:rPr>
          <w:sz w:val="20"/>
          <w:szCs w:val="20"/>
          <w:color w:val="auto"/>
        </w:rPr>
      </w:pPr>
    </w:p>
    <w:p>
      <w:pPr>
        <w:ind w:left="500" w:hanging="290"/>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5, 2025, Mr. Jaumot resigned as director of the Company.</w:t>
      </w:r>
    </w:p>
    <w:p>
      <w:pPr>
        <w:spacing w:after="0" w:line="26" w:lineRule="exact"/>
        <w:rPr>
          <w:rFonts w:ascii="Times New Roman" w:cs="Times New Roman" w:eastAsia="Times New Roman" w:hAnsi="Times New Roman"/>
          <w:sz w:val="16"/>
          <w:szCs w:val="16"/>
          <w:color w:val="auto"/>
        </w:rPr>
      </w:pPr>
    </w:p>
    <w:p>
      <w:pPr>
        <w:ind w:left="500" w:hanging="290"/>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6, 2025, Mr. Griffith was appointed as a director of the Company.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TO RATIFY THE SELECTION OF INDEPENDENT REGISTERED PUBLIC ACCOUNTING FIRM</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Audit Committee has selected the accounting firm of BDO USA, P.C. to serve as our independent registered public accounting firm for the year ending December 31, 2026, subject to ratification of this appointment by our stockholders. Action by stockholders is not required by law in the appointment of an independent registered public accounting firm, but this appointment is submitted by the Board of Directors in order to give the stockholders a voice in the designation of auditors. If the appointment is not ratified by the stockholders, the Board of Directors will reconsider its choice of BDO as our independent registered public accounting firm. Even if the appointment is ratified, the Audit Committee at its discretion may direct the appointment of a different independent accounting firm at any time during the year if it determines that such a change would be in our best interests and our stockholders’ best interests. BDO has advised us that neither it nor any member thereof has any financial interest, direct or indirect, in the Company in any capacity. BDO has served as our independent registered public accounting firm since April 17, 2008 and has audited our consolidated financial statements for the years ended December 31, 2008 through 2025.</w:t>
      </w:r>
    </w:p>
    <w:p>
      <w:pPr>
        <w:spacing w:after="0" w:line="18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anticipates that a representative of BDO will be present at the Annual Meeting, will be given the opportunity to make a statement if he or she so desires and will be available to respond to appropriate questions.</w:t>
      </w:r>
    </w:p>
    <w:p>
      <w:pPr>
        <w:spacing w:after="0" w:line="37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SELECTION OF BDO USA, P.C. AS OUR INDEPENDENT REGISTERED PUBLIC ACCOUNTING FIRM. </w:t>
      </w: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OF OUR AUDIT COMMITTEE</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must pre-approve, to the extent required by applicable law, all audit services and permissible non-audit services provided by our independent registered public accounting firm, except for any de minimis non-audit services. All of the fees reflected below were approved by our Audit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DISCLOSURE</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lists the fees for services rendered by BDO, our independent registered public accounting firm for the years ended December 31, 2025 and 2024:</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Fee Category</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417,167</w:t>
            </w:r>
          </w:p>
        </w:tc>
        <w:tc>
          <w:tcPr>
            <w:tcW w:w="16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408,462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3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128,139</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Fees</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545,306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408,462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“Audit Fees” relate to fees and expenses billed by BDO for the annual audit, including the audit of our financial statements, review of our quarterly financial statements and for comfort letters and consents related to stock issuances and other corporate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“Audit-Related Fees” consist of fees and expenses for assurance and related services that are reasonably related to the performance of the audit or review of our financial statements that are not “Audit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“Tax Fees” consist of fees and related expenses billed for professional services for tax compliance, tax advice and tax planning. These services include assistance regarding federal and state tax compliance and tax planning and structuring.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“All Other Fees” consist of fees and expenses for products and services that are not “Audit Fees,” “Audit-Related Fees” or “Tax Fees.” For 2025, these amounts were for performing tax and financial due diligence for a proposed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reports to and acts on behalf of our Board of Directors by providing oversight of our financial management, independent auditor and financial reporting controls and accounting policies and procedures. Our management is responsible for preparing our financial statements and systems of internal control, and the independent auditor is responsible for auditing those financial statements and expressing its opinion as to whether the financial statements present fairly, in all material respects, our financial position, results of operations and cash flows in conformity with generally accepted accounting principles and internal controls over financial reporting. The Audit Committee is responsible for overseeing the conduct of these activities by our management and the independent auditor.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context, the Audit Committee has:</w:t>
      </w:r>
    </w:p>
    <w:p>
      <w:pPr>
        <w:spacing w:after="0" w:line="225" w:lineRule="exact"/>
        <w:rPr>
          <w:sz w:val="20"/>
          <w:szCs w:val="20"/>
          <w:color w:val="auto"/>
        </w:rPr>
      </w:pPr>
    </w:p>
    <w:p>
      <w:pPr>
        <w:ind w:left="660" w:right="10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and held discussions with management and the independent auditor. Management represented to the Audit Committee that our financial statements as of and for the year ended December 31, 2025 were prepared in accordance with generally accepted accounting principles, and the Audit Committee has reviewed and discussed the quality, not just the acceptability, of the accounting principles, the reasonableness of significant judgments and the clarity of disclosures included in our financial statements with management and the independent auditor.</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auditor matters required to be discussed by the applicable auditing standards of the Public Company Accounting Oversight Board as periodically amended (including significant accounting policies, alternative accounting treatments and estimates, judgments and uncertainties) and the SEC.</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auditor required by the applicable requirements of the Public Company Accounting Oversight Board regarding the independent auditor’s communications with the Audit Committee concerning independence, and the Audit Committee and the independent auditor have discussed the auditor’s independence from the Company and our management, including the matters in those written disclosures.</w:t>
      </w:r>
    </w:p>
    <w:p>
      <w:pPr>
        <w:spacing w:after="0" w:line="17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our independent auditors, with and without management present, their evaluations of our internal accounting controls and the overall quality of our financial reporting.</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relies, without independent verification, on the information provided to it and on the representations made by management and BDO. Accordingly, the Audit Committee’s oversight does not provide an independent basis to determine that management has maintained appropriate accounting and financial reporting principles or appropriate internal controls over financial reporting and procedures designed to assure compliance with accounting standards and applicable laws and regulations. Furthermore, the considerations and discussions referred to above do not assure that (i) the audit of our financial statements has been carried out in accordance with generally accepted auditing standards, (ii) our financial statements are presented in accordance with generally accepted accounting principles or (iii) BDO is, in fact, “independent.”</w:t>
      </w:r>
    </w:p>
    <w:p>
      <w:pPr>
        <w:spacing w:after="0" w:line="18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Based upon these reviews and discussions, the Audit Committee recommended to the Board of Directors that our audited financial statements be included in our 2025 Annual Report for filing with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the Audit Committee: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Dwyer,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Griffith</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7" w:name="page18"/>
    <w:bookmarkEnd w:id="1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3: TO APPROVE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FIRST AMENDMENT TO THE COMPANY'S RIGHTS AGREEMENT</w:t>
      </w:r>
    </w:p>
    <w:p>
      <w:pPr>
        <w:spacing w:after="0" w:line="2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December 21, 2015, our Board of Directors adopted a rights agreement (the “Original Rights Plan”) and declared a distribution of one preferred share purchase right (“Right”) for each outstanding share of the Company’s Class A common stock, Class B common stock, and Class C common stock. On December 10, 2025, the Company adopted a First Amendment (the “Rights Plan Amendment”) to the Original Rights Plan (the Original Rights Plan, as amended by the Rights Plan Amendment, the “Rights Plan”). The Rights Plan Amendment extended the expiration date of the Rights until December 21, 2030 and increased the Purchase Price (as defined in the Rights Plan) from $4.76 to $10.20. No stockholder approval is required for adoption of the Rights Plan Amendment; however, the Company is submitting the Rights Plan Amendment to its stockholders for approval. Our Board has unanimously recommended and declared advisable that our stockholders approve the Rights Plan Amendment. The failure to obtain such approval will result in automatic termination of the Rights Plan on June 30,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Background and Purpose of the Rights Plan</w:t>
      </w:r>
    </w:p>
    <w:p>
      <w:pPr>
        <w:spacing w:after="0" w:line="225"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and its subsidiaries had approximately $245.8 million of net operating loss carryforwards (“NOLs”). These NOLs can, subject to the discussion below regarding an “ownership change,” be used by the Company and its subsidiaries to reduce their federal income tax liabilities. As a result, the Company does not anticipate that it or its subsidiaries will incur a significant federal income tax liability until these NOLs expire.</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ability to use the NOLs to reduce the Company’s and its subsidiaries' federal income tax liability would be limited if there were an “ownership change” under Section 382 of the Internal Revenue Code of 1986, as amended (“Section 382”). This would occur if stockholders owning (or deemed under Section 382 to own) 5% or more of the Company’s stock increased their collective ownership of the aggregate amount of outstanding shares of the Company by more than 50 percentage points over a defined period of time.</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Original Rights Plan was adopted in 2015 in an effort to reduce the likelihood of an “ownership change” under Section 382, protecting against a possible limitation on the Company’s ability under Section 382 to use its and its subsidiaries’ NOLs to reduce potential future federal income tax obligations. No stockholder approval was required for adoption of the Original Rights Plan; however, the Company submitted the Original Rights Plan to its stockholders for approval, and the stockholders approved the Original Rights Plan in June 2016. Following Board approval, the Company adopted the Rights Plan Amendment effective December 10, 2025. As was the case with the Original Rights Plan, stockholder approval is not required for the adoption of the Rights Plan Amendment; however, the Company is submitting it to stockholders for approval at the Annual Meeting. The failure to obtain such approval will result in automatic termination of the Rights Plan on June 30, 2026.</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Rights Plan is intended to act as a deterrent to any person or group acquiring 4.9% or more of the Company’s outstanding Class A common stock (an “Acquiring Person”) without the approval of the Board. Stockholders who owned 4.9% or more of the Company’s outstanding Class A common stock as of the close of business on December 21, 2015 will not trigger the Rights Plan so long as they do not (i) acquire any additional shares of Class A common stock or (ii) fall under 4.9% ownership of Class A common stock and then re-acquire additional shares so that they own 4.9% or more of the Class A common stock. The Rights Plan does not exempt any future acquisitions of Class A common stock by such persons. Any Rights held by an Acquiring Person are void and may not be exercised. No Person shall be an Acquiring Person unless the Board shall have affirmatively determined, in its sole and absolute discretion, within ten (10) business days (or such later time as the Board may determine) after such person has otherwise met the requirements of becoming an Acquiring Person, that such person shall be an Acquiring Person.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Rights Plan</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Rights</w:t>
      </w:r>
      <w:r>
        <w:rPr>
          <w:rFonts w:ascii="Times New Roman" w:cs="Times New Roman" w:eastAsia="Times New Roman" w:hAnsi="Times New Roman"/>
          <w:sz w:val="18"/>
          <w:szCs w:val="18"/>
          <w:color w:val="auto"/>
        </w:rPr>
        <w:t>. The Board authorized the issuance of one Right per each outstanding share of the Company’s Class A common stock,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and Class C common stock payable to stockholders of record as of the close of business on December 21, 2015. Subject to the terms, provisions and conditions of the Rights Plan, if the Rights become exercisable, each Right would initially represent the right to purchase from the Company one ten-thousandth of a share of Series A Preferred Stock (as defined below) for a purchase price of $10.20, subject to adjustment in accordance with the terms of the Rights Plan (the “Purchase Price”). If issued, each fractional share of Series A Preferred Stock would give the stockholder approximately the same distribution, voting and liquidation rights as does one share of the Company’s Class A common stock. However, prior to exercise, a Right does not give its holder any rights as a stockholder of the Company, including without limitation any distribution, voting or liquidation rights.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Rights will generally not be exercisable until the earlier of (i) 10 business days after a public announcement by the Company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group has become an Acquiring Person and (ii) 10 business days after the commencement of a tender or exchange offer by a person or group for 4.9% or more of the Class A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date that the Rights may first become exercisable is referred to as the “Distribution Date.” Until the Distribution Date, the Class A common stock, Class B common stock and Class C common stock certificates will represent the Rights and will contain a notation to that effect. Any transfer of shares of Class A common stock, Class B common stock and/or Class C common stock prior to the Distribution Date will constitute a transfer of the associated Rights. After the Distribution Date, the Rights may be transferred other than in connection with the transfer of the underlying shares of Class A common stock, Class B common stock or Class C common stock.</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the Distribution Date and following a determination by the Board that a person is an Acquiring Person, each holder of a Right, other than Rights beneficially owned by the Acquiring Person (which will thereupon become void), will thereafter have the right to receive upon exercise of a Right and payment of the Purchase Price, that number of shares of Class A common stock, Class B common stock or Class C common stock, as the case may be, having a market value of two times the Purchase Price (or, at our option, shares of Series A Preferred Stock or other consideration as provided in the Rights Plan).</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After the Distribution Date and following a determination by the Board that a person or group is an Acquiring Person, the Board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Rights (other than Rights owned by such an Acquiring Person which will have become void), in whole or in part, at an exchange ratio of one share of Class A common stock, Class B common stock or Class C common stock, as the case may be, or a fractional share of Series A Preferred Stock (or of a share of a similar class or series of the Company’s preferred stock having similar Rights, preferences and privileges) of equivalent value, per Right (subject to adjustment).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Rights and the Rights Plan will expire on the earliest of (i) December 21, 2030, (ii) the time at which the Rights are redeemed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Rights Plan, (iii) the time at which the Rights are exchanged pursuant to the Rights Plan, (iv) the repeal of Section 382 of the Code or any successor statute if the Board determines that the Rights Plan is no longer necessary for the preservation of the applicable tax benefits, (v) the beginning of a taxable year of the Company to which the Board determines that no applicable tax benefits may be carried forward and (vi) the close of business on June 30, 2026 if approval of the Rights Plan by the Company’s stockholders has not been obtained.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At any time prior to the time an Acquiring Person becomes such, the Board may redeem the Rights in whole, but not in part, at a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Anti-Dilution Provisions</w:t>
      </w:r>
      <w:r>
        <w:rPr>
          <w:rFonts w:ascii="Times New Roman" w:cs="Times New Roman" w:eastAsia="Times New Roman" w:hAnsi="Times New Roman"/>
          <w:sz w:val="18"/>
          <w:szCs w:val="18"/>
          <w:color w:val="auto"/>
        </w:rPr>
        <w:t>. The Board may adjust the Purchase Price, the number of shares of Series A Preferred Stock or other securities issuable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outstanding Rights to prevent dilution that may occur as a result of certain events, including among others, a stock dividend, a forward or reverse stock split or a reclassification of the preferred shares or Class A common stock, Class B common stock or Class C common stock. No adjustments to the Purchase Price of less than 1% will be made.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Anti-Takeover Effects</w:t>
      </w:r>
      <w:r>
        <w:rPr>
          <w:rFonts w:ascii="Times New Roman" w:cs="Times New Roman" w:eastAsia="Times New Roman" w:hAnsi="Times New Roman"/>
          <w:sz w:val="18"/>
          <w:szCs w:val="18"/>
          <w:color w:val="auto"/>
        </w:rPr>
        <w:t>. While this was not the purpose of the Board when adopting the Rights Plan, the Rights will have certain anti-takeover effects.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will cause substantial dilution to any person or group that attempts to acquire the Company without the approval of the Board. As a result, the overall effect of the Rights may be to render more difficult or discourage any attempt to acquire the Company even if such acquisition may be favorable to the interests of the Company’s stockholders. Because the Board can redeem the Rights, the Rights should not interfere with a merger or other business combination approved by the Board.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Before the Distribution Date, the Board may amend or supplement the Rights Plan without the consent of the holders of the Rights.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Distribution Date, the Board may amend or supplement the Rights Plan only to cure an ambiguity, to alter time period provisions, to correct inconsistent provisions, or to make any additional changes to the Rights Plan, but only to the extent that those changes do not impair or adversely affect, in any material respect, any Rights holder and do not result in the Rights again becoming redeemable, and no such amendment may cause the Rights again to become redeemable or cause this Rights Plan again to become amendable other than in accordance with the applicable timing of the Rights Plan.</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summary description of the Rights Plan does not purport to be complete and is qualified in its entirety by reference to the Original Rights Plan and Rights Plan Amendment, filed as Exhibits 4.1 and 4.2, respectively, to the Current Report on Form 8-K filed by the Company on December 10,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Certain Considerations Relating to the Rights Plan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that attempting to protect the NOLs is in the best interests of the Company and its stockholders. We cannot, however, eliminate the possibility that an ownership change will occur even if the Rights Plan is approved. You should consider the factors below when making your decision.</w:t>
      </w:r>
    </w:p>
    <w:p>
      <w:pPr>
        <w:spacing w:after="0" w:line="160" w:lineRule="exact"/>
        <w:rPr>
          <w:sz w:val="20"/>
          <w:szCs w:val="20"/>
          <w:color w:val="auto"/>
        </w:rPr>
      </w:pPr>
    </w:p>
    <w:p>
      <w:pPr>
        <w:ind w:left="1040" w:right="20" w:hanging="317"/>
        <w:spacing w:after="0" w:line="26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Use of the NOLs is Uncertain</w:t>
      </w:r>
      <w:r>
        <w:rPr>
          <w:rFonts w:ascii="Times New Roman" w:cs="Times New Roman" w:eastAsia="Times New Roman" w:hAnsi="Times New Roman"/>
          <w:sz w:val="18"/>
          <w:szCs w:val="18"/>
          <w:color w:val="auto"/>
        </w:rPr>
        <w:t>. Our use of the NOLs depends on our ability to generate taxable income in the future. There can be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that we will have taxable income in any applicable period, or if we do, that we will have NOLs in an amount equal to our taxable income.</w:t>
      </w:r>
    </w:p>
    <w:p>
      <w:pPr>
        <w:spacing w:after="0" w:line="173" w:lineRule="exact"/>
        <w:rPr>
          <w:rFonts w:ascii="Times New Roman" w:cs="Times New Roman" w:eastAsia="Times New Roman" w:hAnsi="Times New Roman"/>
          <w:sz w:val="18"/>
          <w:szCs w:val="18"/>
          <w:color w:val="auto"/>
        </w:rPr>
      </w:pPr>
    </w:p>
    <w:p>
      <w:pPr>
        <w:ind w:left="1040" w:right="60" w:hanging="317"/>
        <w:spacing w:after="0" w:line="25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Challenge to the NOLs</w:t>
      </w:r>
      <w:r>
        <w:rPr>
          <w:rFonts w:ascii="Times New Roman" w:cs="Times New Roman" w:eastAsia="Times New Roman" w:hAnsi="Times New Roman"/>
          <w:sz w:val="18"/>
          <w:szCs w:val="18"/>
          <w:color w:val="auto"/>
        </w:rPr>
        <w:t>. The amount of the NOLs has not been audited or otherwise validated by the Internal Revenue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(“IRS”). The IRS could challenge the amount of the NOLs, which could result in an increase in our liability in the future for income taxes. In addition, determining whether an ownership change has occurred is subject to uncertainty, both because of the complexity and ambiguity of the Section 382 provisions and because of limitations on the knowledge that any publicly traded company can have about the ownership of its securities on a timely basis. Therefore, we cannot assure you that the IRS or another taxing authority will not claim that we experienced an ownership change and attempt to reduce the benefit of the NOLs available to us at such time, even if the Rights Plan is in place.</w:t>
      </w:r>
    </w:p>
    <w:p>
      <w:pPr>
        <w:spacing w:after="0" w:line="182" w:lineRule="exact"/>
        <w:rPr>
          <w:rFonts w:ascii="Times New Roman" w:cs="Times New Roman" w:eastAsia="Times New Roman" w:hAnsi="Times New Roman"/>
          <w:sz w:val="18"/>
          <w:szCs w:val="18"/>
          <w:color w:val="auto"/>
        </w:rPr>
      </w:pPr>
    </w:p>
    <w:p>
      <w:pPr>
        <w:ind w:left="1040" w:right="100" w:hanging="317"/>
        <w:spacing w:after="0" w:line="26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Possibility of Ownership Change</w:t>
      </w:r>
      <w:r>
        <w:rPr>
          <w:rFonts w:ascii="Times New Roman" w:cs="Times New Roman" w:eastAsia="Times New Roman" w:hAnsi="Times New Roman"/>
          <w:sz w:val="18"/>
          <w:szCs w:val="18"/>
          <w:color w:val="auto"/>
        </w:rPr>
        <w:t>. Although the Rights Plan is intended to diminish the likelihood of an ownership change,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no assurance that an ownership change will not occur. In addition, our Board of Directors may determine that it is in our</w:t>
      </w:r>
    </w:p>
    <w:p>
      <w:pPr>
        <w:ind w:left="10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interests, taking into account all relevant facts and circumstances at the time, to permit the acquisition of common stock in one or more transactions that constitute an ownership change. In each such case, we may lose all or a portion of the tax benefits associated with our prior losses.</w:t>
      </w:r>
    </w:p>
    <w:p>
      <w:pPr>
        <w:spacing w:after="0" w:line="183" w:lineRule="exact"/>
        <w:rPr>
          <w:rFonts w:ascii="Times New Roman" w:cs="Times New Roman" w:eastAsia="Times New Roman" w:hAnsi="Times New Roman"/>
          <w:sz w:val="18"/>
          <w:szCs w:val="18"/>
          <w:color w:val="auto"/>
        </w:rPr>
      </w:pPr>
    </w:p>
    <w:p>
      <w:pPr>
        <w:ind w:left="1040" w:right="80" w:hanging="317"/>
        <w:spacing w:after="0" w:line="26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Effects on Liquidity</w:t>
      </w:r>
      <w:r>
        <w:rPr>
          <w:rFonts w:ascii="Times New Roman" w:cs="Times New Roman" w:eastAsia="Times New Roman" w:hAnsi="Times New Roman"/>
          <w:sz w:val="18"/>
          <w:szCs w:val="18"/>
          <w:color w:val="auto"/>
        </w:rPr>
        <w:t>. The Rights Plan is intended to deter persons or groups of persons from acquiring beneficial ownership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excess of the specified limitations. A stockholder’s ability to dispose of our common stock may be limited if the Rights Plan reduces the number of persons willing to acquire our common stock or the number of shares they are willing to acquire.</w:t>
      </w:r>
    </w:p>
    <w:p>
      <w:pPr>
        <w:spacing w:after="0" w:line="173" w:lineRule="exact"/>
        <w:rPr>
          <w:rFonts w:ascii="Times New Roman" w:cs="Times New Roman" w:eastAsia="Times New Roman" w:hAnsi="Times New Roman"/>
          <w:sz w:val="18"/>
          <w:szCs w:val="18"/>
          <w:color w:val="auto"/>
        </w:rPr>
      </w:pPr>
    </w:p>
    <w:p>
      <w:pPr>
        <w:ind w:left="1040" w:right="200" w:hanging="317"/>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Anti-Takeover Effect</w:t>
      </w:r>
      <w:r>
        <w:rPr>
          <w:rFonts w:ascii="Times New Roman" w:cs="Times New Roman" w:eastAsia="Times New Roman" w:hAnsi="Times New Roman"/>
          <w:sz w:val="18"/>
          <w:szCs w:val="18"/>
          <w:color w:val="auto"/>
        </w:rPr>
        <w:t>. The Board adopted the Rights Plan in order to protect the Company’s ability to use its NOLs.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its purpose, the Rights Plan may have the effect of inhibiting or impeding a change in control that is not approved by our Board of Directors, thereby adversely affecting our stockholders’ ability to realize a premium over the then-prevailing market price for our common stock in connection with such a transaction.</w:t>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RIGHTS PLAN AMENDMENT.</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p>
      <w:pPr>
        <w:ind w:left="3220"/>
        <w:spacing w:after="0"/>
        <w:rPr>
          <w:sz w:val="20"/>
          <w:szCs w:val="20"/>
          <w:color w:val="auto"/>
        </w:rPr>
      </w:pPr>
      <w:r>
        <w:rPr>
          <w:rFonts w:ascii="Times New Roman" w:cs="Times New Roman" w:eastAsia="Times New Roman" w:hAnsi="Times New Roman"/>
          <w:sz w:val="18"/>
          <w:szCs w:val="18"/>
          <w:b w:val="1"/>
          <w:bCs w:val="1"/>
          <w:color w:val="auto"/>
        </w:rPr>
        <w:t>PROPOSAL 4: TO APPROVE, BY A NON-BINDING VOTE,</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THE COMPANY'S 2025 EXECUTIVE COMPENSATION</w:t>
      </w:r>
    </w:p>
    <w:p>
      <w:pPr>
        <w:spacing w:after="0" w:line="200" w:lineRule="exact"/>
        <w:rPr>
          <w:sz w:val="20"/>
          <w:szCs w:val="20"/>
          <w:color w:val="auto"/>
        </w:rPr>
      </w:pPr>
    </w:p>
    <w:p>
      <w:pPr>
        <w:spacing w:after="0" w:line="223"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approve, on a non-binding, advisory basis, the Company’s executive compensation as reported in the “Executive Compensation” section of this Proxy Statement. This proposal is commonly known as a “say-on-pay” proposal. We are currently holding “say-on-pay” advisory votes every three years, and the next such vote is expected to occur at our 2029 annual meeting of stockholders.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Board believes that we have an executive compensation program that has allowed the Company to retain top-quality executives who have been appropriately motivated to act in the best interests of our stockholders. We believe we have a program that encourages executives to act in the best interest of the Company and its stockholders as further described in the “Compensation Discussion and Analysis” section of this Proxy Statement.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Accordingly, our Board requests that our stockholders vote to approve the following non-binding advisory resolution at the 2026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w:t>
      </w:r>
    </w:p>
    <w:p>
      <w:pPr>
        <w:spacing w:after="0" w:line="207" w:lineRule="exact"/>
        <w:rPr>
          <w:sz w:val="20"/>
          <w:szCs w:val="20"/>
          <w:color w:val="auto"/>
        </w:rPr>
      </w:pPr>
    </w:p>
    <w:p>
      <w:pPr>
        <w:ind w:left="320" w:right="80" w:firstLine="324"/>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including the compensation tables and any related materials disclosed in this Proxy Statement.”</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While this vote is not binding on the Company, it will provide information to our Compensation Committee and our management regarding investor sentiment about our executive compensation philosophy, policies and practices. We will consider this information when determining future executive compensation.</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BOARD RECOMMENDS A VOTE FOR</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APPROVAL, ON AN ADVISORY (NON-BINDING) BASIS,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OF OUR EXECUTIVE OFFICER COMPENSATION.</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the Board of Directors and they serve at the Board’s discretion. The following sets forth certain information with respect to our named executive officers for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Cauley</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H. Haas, IV</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0"/>
                <w:szCs w:val="20"/>
                <w:color w:val="auto"/>
              </w:rPr>
            </w:pPr>
          </w:p>
        </w:tc>
        <w:tc>
          <w:tcPr>
            <w:tcW w:w="7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Chief Financial Officer, Chief Investment Officer and Director</w:t>
            </w:r>
          </w:p>
        </w:tc>
      </w:tr>
    </w:tbl>
    <w:p>
      <w:pPr>
        <w:spacing w:after="0" w:line="1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Biographical information on Mr. Cauley and Mr. Haas is provided above under the caption “PROPOSAL 1: ELECTION OF CLASS II DIRECTOR.”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Compensation Discussion and Analysis describes our compensation program, objectives and policies for the executive officers named in this proxy statement and our executive officers generally. We are a “smaller reporting company.” As such, under SEC rules, we are not required to include a Compensation Discussion and Analysis section in this proxy statement and have elected to provide reduced compensation disclosure, as permitted under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 and Philosophy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discussed herein under the caption “Compensation Committee,” the Compensation Committee of the Board of Directors is responsible for reviewing and establishing or recommending to the Board of Directors the compensation and benefits of the Company’s executive officers, administering the Company’s incentive compensation plans and establishing and reviewing general policies relating to compensation and benefits. At the beginning of each year, the Compensation Committee sets general performance goals and objectives for the named executive officers. Throughout the year, the Compensation Committee monitors the overall performance of the Company and the success of the executive officers in achieving the designated goals. At the end of the year, based on the overall performance of the Company, the extent to which it has achieved the designated goals, and information and recommendations provided by the executive officers, the Compensation Committee’s evaluation of executive compensation and benefit information related to companies that are believed to be similar to the Company, the Compensation Committee makes a determination with respect to the executive officer salaries and bonuses. The Compensation Committee has not retained compensation consultants in determining the amount or form of executive officer and director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 Goals</w:t>
      </w:r>
    </w:p>
    <w:p>
      <w:pPr>
        <w:spacing w:after="0" w:line="22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For 2025, the Compensation Committee set the following performance goals to measure executive officer performance: (i) completion of additional public offerings by Orchid or the Company, (ii) improvement in net income, (iii) improvement in book value, (iv) improvement in market price per share (which may be measured against the results of other entities in the Company’s peer group), (v) development of alternative means to increase assets under management and thereby improve profitability of the Company and Bimini Advisors, (vi) effective management of expenses in proportion to revenue growth and expansion of operations that are achieved during the year and (vii) taking steps to enhance the Company’s utilization of its tax operating losses.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Executive Compensation Goals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2026, the Compensation Committee adopted the following performance goals: (i) completion of additional public offerings by Orchid or the Company, (ii) improvement in net income, (iii) improvement in book value, (iv) improvement in market price per share (which may be measured against the results of other entities in the Company’s peer group), (v) development of alternative means to increase assets under management and thereby improve profitability of the Company and Bimini Advisors, (vi) effective management of expenses in proportion to revenue growth and expansion of operations that are achieved during the year and (vii) taking steps to enhance the Company’s utilization of its tax net operating losses.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required by Item 402 of Regulation S-K promulgated by the SEC. Except as set forth in Note 3 to the table, the amounts shown represent compensation paid to the named executive officers for services rendered to the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80" w:type="dxa"/>
            <w:vAlign w:val="bottom"/>
            <w:gridSpan w:val="7"/>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1"/>
              <w:spacing w:after="0" w:line="16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13"/>
                <w:szCs w:val="13"/>
                <w:b w:val="1"/>
                <w:bCs w:val="1"/>
                <w:color w:val="auto"/>
              </w:rPr>
              <w:t>(1)(2)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240"/>
              <w:spacing w:after="0" w:line="216"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Cauley</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1,200,407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1,977,609</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1,762,548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28,726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4,969,291</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1,143,245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1,582,088</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27,090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2,752,423</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914,789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1,605,516</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1,347,440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21,059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3,888,804</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871,228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1,284,413</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20,582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2,176,223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500" w:right="220" w:hanging="290"/>
        <w:spacing w:after="0" w:line="269"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Columns for “Option Awards,” “Non-Equity Incentive Plan Compensation” and “Changes in Pension Value and Nonqualified Compensation Earnings” have been omitted because they were not applicable in either the last two fiscal years.</w:t>
      </w:r>
    </w:p>
    <w:p>
      <w:pPr>
        <w:ind w:left="500" w:right="60" w:hanging="290"/>
        <w:spacing w:after="0" w:line="264" w:lineRule="auto"/>
        <w:tabs>
          <w:tab w:leader="none" w:pos="5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2026, the Compensation Committee awarded bonuses in respect of 2025 service to the Company in the amounts of $1,977,609 and $1,605,516 to Messrs. Cauley and Haas, respectively. Of these amounts, $1,655,769 and $1,344,231 were paid in January 2026, with the remaining to be paid in June 2026.</w:t>
      </w:r>
    </w:p>
    <w:p>
      <w:pPr>
        <w:ind w:left="500" w:right="60" w:hanging="290"/>
        <w:spacing w:after="0" w:line="264" w:lineRule="auto"/>
        <w:tabs>
          <w:tab w:leader="none" w:pos="5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the Compensation Committee awarded bonuses in respect of 2024 service to the Company in the amounts of $1,582,088 and $1,284,413 to Messrs. Cauley and Haas, respectively. These amounts were paid in January 2025.</w:t>
      </w:r>
    </w:p>
    <w:p>
      <w:pPr>
        <w:ind w:left="500" w:right="20" w:hanging="330"/>
        <w:spacing w:after="0" w:line="264"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2026, the Compensation Committee of Orchid awarded Messrs. Cauley and Haas performance units with respect to Orchid common stock and immediately vested shares of Orchid common stock in respect of 2025 service to or for the benefit of Orchid with a grant date fair value of $1,762,548 and $1,347,440, respectively. Amounts reported in this column for 2025 represent the grant date fair value of stock awards granted in 2026 for performance obtained as of December 31, 2025, computed in accordance with FASB ASC Topic 718, and the assumptions used to determine those grant date fair values of awards are set forth in Note 9 to Orchid’s Financial Statements for the year ended December 31, 2025, included in Orchid’s Annual Report for the year then ended.</w:t>
      </w:r>
    </w:p>
    <w:p>
      <w:pPr>
        <w:ind w:left="500" w:right="40" w:hanging="290"/>
        <w:spacing w:after="0" w:line="276" w:lineRule="auto"/>
        <w:tabs>
          <w:tab w:leader="none" w:pos="5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consist of payments made with respect to reimbursement of certain life, health, disability, accidental death and dental insurance premiums in excess of the percentage of such premiums paid by the Company for salaried employees generally, and matching contributions under the Company’s 401(k) savings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for Fiscal Year-Ended December 31, 2025</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were no unexercised stock options or unvested equity awards of any kind issued by the Company and held by executive officers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sponsor any qualified or non-qualified defined benefit pension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have any non-qualified deferred compensation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As required by SEC rules, we are providing the following disclosures regarding the relationship between executive compensation for our principal executive officer (“PEO”) and Non-PEO named executive officer (“Non-PEO NEO”) and company performance for the fiscal years listed below. The Compensation Committee did not consider the pay versus performance disclosure when making its incentive compensation decisions. For further information about how we align executive compensation with company performance, see the section entitled “Compensation Discussion and Analysis” above.</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Value of Initial Fixed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$100 Investment Based On:</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0"/>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Summary</w:t>
            </w:r>
          </w:p>
        </w:tc>
        <w:tc>
          <w:tcPr>
            <w:tcW w:w="140" w:type="dxa"/>
            <w:vAlign w:val="bottom"/>
          </w:tcPr>
          <w:p>
            <w:pPr>
              <w:spacing w:after="0"/>
              <w:rPr>
                <w:sz w:val="15"/>
                <w:szCs w:val="15"/>
                <w:color w:val="auto"/>
              </w:rPr>
            </w:pPr>
          </w:p>
        </w:tc>
        <w:tc>
          <w:tcPr>
            <w:tcW w:w="1140" w:type="dxa"/>
            <w:vAlign w:val="bottom"/>
            <w:gridSpan w:val="2"/>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5"/>
                <w:szCs w:val="15"/>
                <w:color w:val="auto"/>
              </w:rPr>
            </w:pPr>
          </w:p>
        </w:tc>
        <w:tc>
          <w:tcPr>
            <w:tcW w:w="1120" w:type="dxa"/>
            <w:vAlign w:val="bottom"/>
            <w:gridSpan w:val="2"/>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Actually</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Peer Group</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Actually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7"/>
              </w:rPr>
              <w:t>Table Total</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2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202"/>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Table 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Paid</w:t>
            </w:r>
          </w:p>
        </w:tc>
        <w:tc>
          <w:tcPr>
            <w:tcW w:w="120" w:type="dxa"/>
            <w:vAlign w:val="bottom"/>
          </w:tcPr>
          <w:p>
            <w:pPr>
              <w:spacing w:after="0"/>
              <w:rPr>
                <w:sz w:val="17"/>
                <w:szCs w:val="17"/>
                <w:color w:val="auto"/>
              </w:rPr>
            </w:pPr>
          </w:p>
        </w:tc>
        <w:tc>
          <w:tcPr>
            <w:tcW w:w="11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Non-PEO</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 Non-PEO</w:t>
            </w:r>
          </w:p>
        </w:tc>
        <w:tc>
          <w:tcPr>
            <w:tcW w:w="110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Shareholder</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Shareholder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(in</w:t>
            </w:r>
          </w:p>
        </w:tc>
      </w:tr>
      <w:tr>
        <w:trPr>
          <w:trHeight w:val="219"/>
        </w:trPr>
        <w:tc>
          <w:tcPr>
            <w:tcW w:w="26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9"/>
              <w:spacing w:after="0" w:line="220" w:lineRule="exact"/>
              <w:rPr>
                <w:sz w:val="20"/>
                <w:szCs w:val="20"/>
                <w:color w:val="auto"/>
              </w:rPr>
            </w:pPr>
            <w:r>
              <w:rPr>
                <w:rFonts w:ascii="Times New Roman" w:cs="Times New Roman" w:eastAsia="Times New Roman" w:hAnsi="Times New Roman"/>
                <w:sz w:val="16"/>
                <w:szCs w:val="16"/>
                <w:b w:val="1"/>
                <w:bCs w:val="1"/>
                <w:color w:val="auto"/>
                <w:w w:val="96"/>
              </w:rPr>
              <w:t xml:space="preserve">for PEO </w:t>
            </w:r>
            <w:r>
              <w:rPr>
                <w:rFonts w:ascii="Times New Roman" w:cs="Times New Roman" w:eastAsia="Times New Roman" w:hAnsi="Times New Roman"/>
                <w:sz w:val="25"/>
                <w:szCs w:val="25"/>
                <w:b w:val="1"/>
                <w:bCs w:val="1"/>
                <w:color w:val="auto"/>
                <w:w w:val="96"/>
                <w:vertAlign w:val="superscript"/>
              </w:rPr>
              <w:t>(1)</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 xml:space="preserve">to PEO </w:t>
            </w:r>
            <w:r>
              <w:rPr>
                <w:rFonts w:ascii="Times New Roman" w:cs="Times New Roman" w:eastAsia="Times New Roman" w:hAnsi="Times New Roman"/>
                <w:sz w:val="13"/>
                <w:szCs w:val="13"/>
                <w:b w:val="1"/>
                <w:bCs w:val="1"/>
                <w:color w:val="auto"/>
              </w:rPr>
              <w:t>(1)(2)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NEOs</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NEOs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line="220" w:lineRule="exact"/>
              <w:rPr>
                <w:sz w:val="20"/>
                <w:szCs w:val="20"/>
                <w:color w:val="auto"/>
              </w:rPr>
            </w:pPr>
            <w:r>
              <w:rPr>
                <w:rFonts w:ascii="Times New Roman" w:cs="Times New Roman" w:eastAsia="Times New Roman" w:hAnsi="Times New Roman"/>
                <w:sz w:val="16"/>
                <w:szCs w:val="16"/>
                <w:b w:val="1"/>
                <w:bCs w:val="1"/>
                <w:color w:val="auto"/>
                <w:w w:val="93"/>
              </w:rPr>
              <w:t xml:space="preserve">Return </w:t>
            </w:r>
            <w:r>
              <w:rPr>
                <w:rFonts w:ascii="Times New Roman" w:cs="Times New Roman" w:eastAsia="Times New Roman" w:hAnsi="Times New Roman"/>
                <w:sz w:val="25"/>
                <w:szCs w:val="25"/>
                <w:b w:val="1"/>
                <w:bCs w:val="1"/>
                <w:color w:val="auto"/>
                <w:w w:val="93"/>
                <w:vertAlign w:val="superscript"/>
              </w:rPr>
              <w:t>(3)</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Return</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196"/>
        </w:trPr>
        <w:tc>
          <w:tcPr>
            <w:tcW w:w="26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4,969,291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3,225,842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3,888,804</w:t>
            </w: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2,557,131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c>
          <w:tcPr>
            <w:tcW w:w="106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5,801</w:t>
            </w:r>
          </w:p>
        </w:tc>
      </w:tr>
      <w:tr>
        <w:trPr>
          <w:trHeight w:val="203"/>
        </w:trPr>
        <w:tc>
          <w:tcPr>
            <w:tcW w:w="26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2,752,423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3,009,980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2,176,223</w:t>
            </w: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2,408,123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0.99</w:t>
            </w:r>
          </w:p>
        </w:tc>
        <w:tc>
          <w:tcPr>
            <w:tcW w:w="106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03"/>
        </w:trPr>
        <w:tc>
          <w:tcPr>
            <w:tcW w:w="26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2,846,040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3,116,674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2,277,886</w:t>
            </w: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2,446,883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0.70</w:t>
            </w:r>
          </w:p>
        </w:tc>
        <w:tc>
          <w:tcPr>
            <w:tcW w:w="106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r>
    </w:tbl>
    <w:p>
      <w:pPr>
        <w:spacing w:after="0" w:line="189" w:lineRule="exact"/>
        <w:rPr>
          <w:sz w:val="20"/>
          <w:szCs w:val="20"/>
          <w:color w:val="auto"/>
        </w:rPr>
      </w:pPr>
    </w:p>
    <w:p>
      <w:pPr>
        <w:ind w:left="480" w:hanging="236"/>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E. Cauley was our PEO and George H. Haas, IV was our Non-PEO NEO for each year presented.</w:t>
      </w:r>
    </w:p>
    <w:p>
      <w:pPr>
        <w:spacing w:after="0" w:line="26" w:lineRule="exact"/>
        <w:rPr>
          <w:rFonts w:ascii="Times New Roman" w:cs="Times New Roman" w:eastAsia="Times New Roman" w:hAnsi="Times New Roman"/>
          <w:sz w:val="16"/>
          <w:szCs w:val="16"/>
          <w:color w:val="auto"/>
        </w:rPr>
      </w:pPr>
    </w:p>
    <w:p>
      <w:pPr>
        <w:ind w:left="480" w:hanging="236"/>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adjustment below.</w:t>
      </w:r>
    </w:p>
    <w:p>
      <w:pPr>
        <w:spacing w:after="0" w:line="18" w:lineRule="exact"/>
        <w:rPr>
          <w:rFonts w:ascii="Times New Roman" w:cs="Times New Roman" w:eastAsia="Times New Roman" w:hAnsi="Times New Roman"/>
          <w:sz w:val="16"/>
          <w:szCs w:val="16"/>
          <w:color w:val="auto"/>
        </w:rPr>
      </w:pPr>
    </w:p>
    <w:p>
      <w:pPr>
        <w:ind w:left="460" w:right="520" w:hanging="216"/>
        <w:spacing w:after="0" w:line="288" w:lineRule="auto"/>
        <w:tabs>
          <w:tab w:leader="none" w:pos="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assumes $100 invested at December 31, 2022 and represents the value of such investment as of December 31, 2023, 2024, and 2025, respectively.</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Adjustments</w:t>
      </w:r>
    </w:p>
    <w:p>
      <w:pPr>
        <w:spacing w:after="0" w:line="229" w:lineRule="exact"/>
        <w:rPr>
          <w:sz w:val="20"/>
          <w:szCs w:val="20"/>
          <w:color w:val="auto"/>
        </w:rPr>
      </w:pPr>
    </w:p>
    <w:p>
      <w:pPr>
        <w:ind w:left="180" w:right="820"/>
        <w:spacing w:after="0" w:line="261" w:lineRule="auto"/>
        <w:rPr>
          <w:sz w:val="20"/>
          <w:szCs w:val="20"/>
          <w:color w:val="auto"/>
        </w:rPr>
      </w:pPr>
      <w:r>
        <w:rPr>
          <w:rFonts w:ascii="Times New Roman" w:cs="Times New Roman" w:eastAsia="Times New Roman" w:hAnsi="Times New Roman"/>
          <w:sz w:val="18"/>
          <w:szCs w:val="18"/>
          <w:color w:val="auto"/>
        </w:rPr>
        <w:t>Compensation Actually Paid, as presented above, represents the Summary Compensation Table Totals adjusted for the items set forth below in accordance with Item 402(v)(2)(iii) of Regulation S-K and may not reflect compensation actually earned, realized or received by the NEOs.</w:t>
      </w:r>
    </w:p>
    <w:tbl>
      <w:tblPr>
        <w:tblLayout w:type="fixed"/>
        <w:tblInd w:w="2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69"/>
        </w:trPr>
        <w:tc>
          <w:tcPr>
            <w:tcW w:w="80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Adjustments to Summary Compensation Table Totals to Determine Compensation Actually Paid</w:t>
            </w:r>
          </w:p>
        </w:tc>
        <w:tc>
          <w:tcPr>
            <w:tcW w:w="320" w:type="dxa"/>
            <w:vAlign w:val="bottom"/>
          </w:tcPr>
          <w:p>
            <w:pPr>
              <w:spacing w:after="0"/>
              <w:rPr>
                <w:sz w:val="14"/>
                <w:szCs w:val="14"/>
                <w:color w:val="auto"/>
              </w:rPr>
            </w:pPr>
          </w:p>
        </w:tc>
        <w:tc>
          <w:tcPr>
            <w:tcW w:w="1280" w:type="dxa"/>
            <w:vAlign w:val="bottom"/>
            <w:gridSpan w:val="2"/>
          </w:tcPr>
          <w:p>
            <w:pPr>
              <w:jc w:val="right"/>
              <w:ind w:right="700"/>
              <w:spacing w:after="0" w:line="169" w:lineRule="exact"/>
              <w:rPr>
                <w:sz w:val="20"/>
                <w:szCs w:val="20"/>
                <w:color w:val="auto"/>
              </w:rPr>
            </w:pPr>
            <w:r>
              <w:rPr>
                <w:rFonts w:ascii="Times New Roman" w:cs="Times New Roman" w:eastAsia="Times New Roman" w:hAnsi="Times New Roman"/>
                <w:sz w:val="16"/>
                <w:szCs w:val="16"/>
                <w:b w:val="1"/>
                <w:bCs w:val="1"/>
                <w:color w:val="auto"/>
              </w:rPr>
              <w:t>PEO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00"/>
              <w:spacing w:after="0" w:line="169" w:lineRule="exact"/>
              <w:rPr>
                <w:sz w:val="20"/>
                <w:szCs w:val="20"/>
                <w:color w:val="auto"/>
              </w:rPr>
            </w:pPr>
            <w:r>
              <w:rPr>
                <w:rFonts w:ascii="Times New Roman" w:cs="Times New Roman" w:eastAsia="Times New Roman" w:hAnsi="Times New Roman"/>
                <w:sz w:val="16"/>
                <w:szCs w:val="16"/>
                <w:b w:val="1"/>
                <w:bCs w:val="1"/>
                <w:color w:val="auto"/>
              </w:rPr>
              <w:t>Non-PEO NEO</w:t>
            </w:r>
          </w:p>
        </w:tc>
      </w:tr>
      <w:tr>
        <w:trPr>
          <w:trHeight w:val="20"/>
        </w:trPr>
        <w:tc>
          <w:tcPr>
            <w:tcW w:w="66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for amounts reported under Stock Awards Column in the Summary Compensation Table</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(1,762,548)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(1,347,440)</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as of vesting date of awards granted and vested during the year</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fair value at year end of awards granted during year that remain unvested as of year end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current-year end of awards granted prior to year that were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and unvested as of year end</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(6,275)</w:t>
            </w:r>
          </w:p>
        </w:tc>
      </w:tr>
      <w:tr>
        <w:trPr>
          <w:trHeight w:val="19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vesting date of awards granted prior to year that vested during</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year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(5,234)</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for prior year fair value for awards granted prior to year that were forfeited during the year</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dividends paid during the year prior to vesting date of award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3"/>
                <w:szCs w:val="13"/>
                <w:color w:val="auto"/>
              </w:rPr>
              <w:t>(1,743,449</w:t>
            </w:r>
            <w:r>
              <w:rPr>
                <w:rFonts w:ascii="Times New Roman" w:cs="Times New Roman" w:eastAsia="Times New Roman" w:hAnsi="Times New Roman"/>
                <w:sz w:val="22"/>
                <w:szCs w:val="22"/>
                <w:color w:val="auto"/>
                <w:vertAlign w:val="subscript"/>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3"/>
                <w:szCs w:val="13"/>
                <w:color w:val="auto"/>
              </w:rPr>
              <w:t>(1,331,673</w:t>
            </w:r>
            <w:r>
              <w:rPr>
                <w:rFonts w:ascii="Times New Roman" w:cs="Times New Roman" w:eastAsia="Times New Roman" w:hAnsi="Times New Roman"/>
                <w:sz w:val="22"/>
                <w:szCs w:val="22"/>
                <w:color w:val="auto"/>
                <w:vertAlign w:val="subscript"/>
              </w:rPr>
              <w:t>)</w:t>
            </w:r>
          </w:p>
        </w:tc>
      </w:tr>
      <w:tr>
        <w:trPr>
          <w:trHeight w:val="20"/>
        </w:trPr>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8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Adjustments to Summary Compensation Table Totals to Determine Compensation Actually Paid</w:t>
            </w:r>
          </w:p>
        </w:tc>
        <w:tc>
          <w:tcPr>
            <w:tcW w:w="320" w:type="dxa"/>
            <w:vAlign w:val="bottom"/>
          </w:tcPr>
          <w:p>
            <w:pPr>
              <w:spacing w:after="0"/>
              <w:rPr>
                <w:sz w:val="15"/>
                <w:szCs w:val="15"/>
                <w:color w:val="auto"/>
              </w:rPr>
            </w:pPr>
          </w:p>
        </w:tc>
        <w:tc>
          <w:tcPr>
            <w:tcW w:w="1280" w:type="dxa"/>
            <w:vAlign w:val="bottom"/>
            <w:gridSpan w:val="2"/>
          </w:tcPr>
          <w:p>
            <w:pPr>
              <w:jc w:val="right"/>
              <w:ind w:right="700"/>
              <w:spacing w:after="0" w:line="175" w:lineRule="exact"/>
              <w:rPr>
                <w:sz w:val="20"/>
                <w:szCs w:val="20"/>
                <w:color w:val="auto"/>
              </w:rPr>
            </w:pPr>
            <w:r>
              <w:rPr>
                <w:rFonts w:ascii="Times New Roman" w:cs="Times New Roman" w:eastAsia="Times New Roman" w:hAnsi="Times New Roman"/>
                <w:sz w:val="16"/>
                <w:szCs w:val="16"/>
                <w:b w:val="1"/>
                <w:bCs w:val="1"/>
                <w:color w:val="auto"/>
              </w:rPr>
              <w:t>PEO</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Non-PEO NEO</w:t>
            </w:r>
          </w:p>
        </w:tc>
        <w:tc>
          <w:tcPr>
            <w:tcW w:w="100" w:type="dxa"/>
            <w:vAlign w:val="bottom"/>
          </w:tcPr>
          <w:p>
            <w:pPr>
              <w:spacing w:after="0"/>
              <w:rPr>
                <w:sz w:val="15"/>
                <w:szCs w:val="15"/>
                <w:color w:val="auto"/>
              </w:rPr>
            </w:pPr>
          </w:p>
        </w:tc>
      </w:tr>
      <w:tr>
        <w:trPr>
          <w:trHeight w:val="20"/>
        </w:trPr>
        <w:tc>
          <w:tcPr>
            <w:tcW w:w="66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for amounts reported under Stock Awards Column in the Summary Compensation Table</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as of vesting date of awards granted and vested during the year</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102,500</w:t>
            </w:r>
          </w:p>
        </w:tc>
      </w:tr>
      <w:tr>
        <w:trPr>
          <w:trHeight w:val="20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fair value at year end of awards granted during year that remain unvested as of year end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92,504</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current-year end of awards granted prior to year that were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and unvested as of year end</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(8,127)</w:t>
            </w:r>
          </w:p>
        </w:tc>
      </w:tr>
      <w:tr>
        <w:trPr>
          <w:trHeight w:val="19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vesting date of awards granted prior to year that vested during</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year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(678)</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for prior year fair value for awards granted prior to year that were forfeited during the year</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dividends paid during the year prior to vesting date of award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257,557</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231,901</w:t>
            </w:r>
          </w:p>
        </w:tc>
      </w:tr>
      <w:tr>
        <w:trPr>
          <w:trHeight w:val="20"/>
        </w:trPr>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60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66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r>
      <w:tr>
        <w:trPr>
          <w:trHeight w:val="169"/>
        </w:trPr>
        <w:tc>
          <w:tcPr>
            <w:tcW w:w="80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Adjustments to Summary Compensation Table Totals to Determine Compensation Actually Paid</w:t>
            </w:r>
          </w:p>
        </w:tc>
        <w:tc>
          <w:tcPr>
            <w:tcW w:w="320" w:type="dxa"/>
            <w:vAlign w:val="bottom"/>
          </w:tcPr>
          <w:p>
            <w:pPr>
              <w:spacing w:after="0"/>
              <w:rPr>
                <w:sz w:val="14"/>
                <w:szCs w:val="14"/>
                <w:color w:val="auto"/>
              </w:rPr>
            </w:pPr>
          </w:p>
        </w:tc>
        <w:tc>
          <w:tcPr>
            <w:tcW w:w="1280" w:type="dxa"/>
            <w:vAlign w:val="bottom"/>
            <w:gridSpan w:val="2"/>
          </w:tcPr>
          <w:p>
            <w:pPr>
              <w:jc w:val="right"/>
              <w:ind w:right="700"/>
              <w:spacing w:after="0" w:line="169" w:lineRule="exact"/>
              <w:rPr>
                <w:sz w:val="20"/>
                <w:szCs w:val="20"/>
                <w:color w:val="auto"/>
              </w:rPr>
            </w:pPr>
            <w:r>
              <w:rPr>
                <w:rFonts w:ascii="Times New Roman" w:cs="Times New Roman" w:eastAsia="Times New Roman" w:hAnsi="Times New Roman"/>
                <w:sz w:val="16"/>
                <w:szCs w:val="16"/>
                <w:b w:val="1"/>
                <w:bCs w:val="1"/>
                <w:color w:val="auto"/>
              </w:rPr>
              <w:t>PEO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00"/>
              <w:spacing w:after="0" w:line="169" w:lineRule="exact"/>
              <w:rPr>
                <w:sz w:val="20"/>
                <w:szCs w:val="20"/>
                <w:color w:val="auto"/>
              </w:rPr>
            </w:pPr>
            <w:r>
              <w:rPr>
                <w:rFonts w:ascii="Times New Roman" w:cs="Times New Roman" w:eastAsia="Times New Roman" w:hAnsi="Times New Roman"/>
                <w:sz w:val="16"/>
                <w:szCs w:val="16"/>
                <w:b w:val="1"/>
                <w:bCs w:val="1"/>
                <w:color w:val="auto"/>
              </w:rPr>
              <w:t>Non-PEO NEO</w:t>
            </w:r>
          </w:p>
        </w:tc>
      </w:tr>
      <w:tr>
        <w:trPr>
          <w:trHeight w:val="20"/>
        </w:trPr>
        <w:tc>
          <w:tcPr>
            <w:tcW w:w="66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for amounts reported under Stock Awards Column in the Summary Compensation Table</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(220,000)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(205,000)</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as of vesting date of awards granted and vested during the year</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307,811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234,572</w:t>
            </w:r>
          </w:p>
        </w:tc>
      </w:tr>
      <w:tr>
        <w:trPr>
          <w:trHeight w:val="20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fair value at year end of awards granted during year that remain unvested as of year end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155,341</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current-year end of awards granted prior to year that were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and unvested as of year end</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(11,421)</w:t>
            </w:r>
          </w:p>
        </w:tc>
      </w:tr>
      <w:tr>
        <w:trPr>
          <w:trHeight w:val="19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vesting date of awards granted prior to year that vested during</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year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(5,829)</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for prior year fair value for awards granted prior to year that were forfeited during the year</w:t>
            </w: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(58,223)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(44,368)</w:t>
            </w:r>
          </w:p>
        </w:tc>
      </w:tr>
      <w:tr>
        <w:trPr>
          <w:trHeight w:val="20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dividends paid during the year prior to vesting date of award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270,635</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168,998</w:t>
            </w:r>
          </w:p>
        </w:tc>
      </w:tr>
      <w:tr>
        <w:trPr>
          <w:trHeight w:val="20"/>
        </w:trPr>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Compensation Actually Paid to Total Shareholder Return</w:t>
      </w:r>
    </w:p>
    <w:p>
      <w:pPr>
        <w:spacing w:after="0" w:line="229"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PEO and Non-PEO NEO and the Company's total shareholder return on a cumulative basis assuming investment of $100 on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2948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 w:name="page26"/>
    <w:bookmarkEnd w:id="2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Compensation Actually Paid to Net Income</w:t>
      </w:r>
    </w:p>
    <w:p>
      <w:pPr>
        <w:spacing w:after="0" w:line="229" w:lineRule="exact"/>
        <w:rPr>
          <w:sz w:val="20"/>
          <w:szCs w:val="20"/>
          <w:color w:val="auto"/>
        </w:rPr>
      </w:pPr>
    </w:p>
    <w:p>
      <w:pPr>
        <w:ind w:left="160"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PEO and Non-PEO NEO and the Company's net income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2931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Mr. Cauley and Mr. Haas entered into severance agreements on June 30, 2009. Mr. Cauley’s agreement and Mr. Haas’s agreement contain substantially the same terms and conditions. The current term of each existing agreement expires June 30, 2028, but is automatically extended by additional twelve month periods each July 1 unless the Company provides written notice otherwise at least 90 days prior to the renewal date or in the event of a change of control during the term of the agreement.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qualitative and quantitative information below reflects the amount of compensation payable to Mr. Cauley and Mr. Haas under their respective severance agreement in the event of termination of such executive’s employment under several different circumstances. Amounts disclosed assume that such termination is effective as of December 31, 2025 and thus include amounts earned through such time and are estimates of the amounts that would have been payable to the executives had their employment terminated effective December 31, 2025. The actual amounts, if any, to be paid out under the executive’s respective agreement can only be determined at the time of such executive’s separation from the Company. Upon expiration of these agreements, the termination payment provisions contained in the agreements, as described below, will automatically terminate and have no further force or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and Benefits upon Termination without Cause or for Good Reason</w:t>
      </w:r>
    </w:p>
    <w:p>
      <w:pPr>
        <w:spacing w:after="0" w:line="22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Under the respective severance agreements, each executive is entitled to receive termination benefits, if during the term of the agreement (i) the Company terminates executive’s employment with the Company without Cause (as defined in the severance agreement), (ii) executive resigns from the employment of the Company and executive has Good Reason (as defined in the severance agreement) to resign from the Company, (iii) the executive dies or becomes disabled, or (iv) because of a Change in Control (as defined in the severance agreement) of the Company. No amounts will be payable under this Agreement unless Executive’s employment with the Company is terminated as described in the preceding sentence. If executive’s employment is terminated in accordance with the above, the executive will be entitled to receive the following payments and benefits from the Company, subject to the terms and conditions of his respective severance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6" w:name="page27"/>
    <w:bookmarkEnd w:id="26"/>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accrued but unpaid salary from the Company through the date that employment terminates;</w:t>
      </w:r>
    </w:p>
    <w:p>
      <w:pPr>
        <w:spacing w:after="0" w:line="27"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bonus that has been approved by the Compensation Committee of the Board but which remains unpaid as of termination of employment;</w:t>
      </w:r>
    </w:p>
    <w:p>
      <w:pPr>
        <w:ind w:left="660" w:right="10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expenses that the executive incurred on behalf of the Company prior to termination of employment to the extent that such expenses are reimbursable under the Company’s standard reimbursement policies;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cost of continued health plan coverage for the executive and his qualified beneficiaries through the term of the agreement;</w:t>
      </w:r>
    </w:p>
    <w:p>
      <w:pPr>
        <w:spacing w:after="0" w:line="9" w:lineRule="exact"/>
        <w:rPr>
          <w:rFonts w:ascii="Times New Roman" w:cs="Times New Roman" w:eastAsia="Times New Roman" w:hAnsi="Times New Roman"/>
          <w:sz w:val="18"/>
          <w:szCs w:val="18"/>
          <w:color w:val="auto"/>
        </w:rPr>
      </w:pPr>
    </w:p>
    <w:p>
      <w:pPr>
        <w:ind w:left="660" w:right="7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any benefits or payments that the executive is entitled to receive under any employee benefit plans or other arrangements or agreements that cover executive;</w:t>
      </w:r>
    </w:p>
    <w:p>
      <w:pPr>
        <w:ind w:left="660" w:right="3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Nonvested phantom shares or restricted stock, stock options and other stock-based awards will become automatically vested on the date of the executive’s termination of employment;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if certain liabilities are incurred by the executive pursuant to Internal Revenue Code Section 4999;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benefit equal to the amount described in either (i) or (ii) below, as applicable:</w:t>
      </w:r>
    </w:p>
    <w:p>
      <w:pPr>
        <w:spacing w:after="0" w:line="206" w:lineRule="exact"/>
        <w:rPr>
          <w:rFonts w:ascii="Times New Roman" w:cs="Times New Roman" w:eastAsia="Times New Roman" w:hAnsi="Times New Roman"/>
          <w:sz w:val="18"/>
          <w:szCs w:val="18"/>
          <w:color w:val="auto"/>
        </w:rPr>
      </w:pPr>
    </w:p>
    <w:p>
      <w:pPr>
        <w:ind w:left="980" w:right="80" w:hanging="279"/>
        <w:spacing w:after="0" w:line="25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the executive’s employment without Cause within six months before or after a Change in Control or the executive resigns from the Company within six months after a Change in Control with Good Reason, the executive will receive a severance benefit equal to three times his “current cash compensation,” which shall be equal to one year of the executive’s annual base salary from the Company as in effect on the date the executive’s employment terminates and the average of the annual cash bonuses, excluding extraordinary bonuses, paid to the executive for the Company’s two fiscal years ending before the date the executive’s employment with the Company terminates; or</w:t>
      </w:r>
    </w:p>
    <w:p>
      <w:pPr>
        <w:spacing w:after="0" w:line="187" w:lineRule="exact"/>
        <w:rPr>
          <w:rFonts w:ascii="Times New Roman" w:cs="Times New Roman" w:eastAsia="Times New Roman" w:hAnsi="Times New Roman"/>
          <w:sz w:val="18"/>
          <w:szCs w:val="18"/>
          <w:color w:val="auto"/>
        </w:rPr>
      </w:pPr>
    </w:p>
    <w:p>
      <w:pPr>
        <w:ind w:left="980" w:right="60" w:hanging="279"/>
        <w:spacing w:after="0" w:line="261"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the executive’s employment without Cause or the executive resigns from the Company with Good Reason, in each case not in connection with a Change in Control, or if the executive dies or becomes disabled, the severance benefit payable is equal to the executive’s current cash compensation multiplied by the quotient of (a) the number of days remaining in the term of the agreement and (b) 365.</w:t>
      </w:r>
    </w:p>
    <w:p>
      <w:pPr>
        <w:spacing w:after="0" w:line="18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post-employment payments our named executive officers would be entitled to under their respective severance agreement and assumes that the triggering event took place on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Termination by Company Without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Cause of By Employee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5"/>
        </w:trPr>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for Good Reason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83"/>
        </w:trPr>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Not in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 Connection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Connection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with a Change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with a Change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Death or</w:t>
            </w:r>
          </w:p>
        </w:tc>
      </w:tr>
      <w:tr>
        <w:trPr>
          <w:trHeight w:val="191"/>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Benefits and Payments Upon Termination</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in Control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in Control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Disability</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Cauley</w:t>
            </w:r>
          </w:p>
        </w:tc>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Severance Benefit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8,940,768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7,446,557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7,446,557</w:t>
            </w: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Continuation of Health Insurance</w:t>
            </w:r>
          </w:p>
        </w:tc>
        <w:tc>
          <w:tcPr>
            <w:tcW w:w="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59,959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59,959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59,959</w:t>
            </w:r>
          </w:p>
        </w:tc>
      </w:tr>
      <w:tr>
        <w:trPr>
          <w:trHeight w:val="236"/>
        </w:trPr>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Totals</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9,000,727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7,506,516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7,506,516</w:t>
            </w:r>
          </w:p>
        </w:tc>
      </w:tr>
      <w:tr>
        <w:trPr>
          <w:trHeight w:val="183"/>
        </w:trPr>
        <w:tc>
          <w:tcPr>
            <w:tcW w:w="42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9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03"/>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Severance Benefit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7,079,261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5,896,152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5,896,152</w:t>
            </w: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Continuation of Health Insurance</w:t>
            </w:r>
          </w:p>
        </w:tc>
        <w:tc>
          <w:tcPr>
            <w:tcW w:w="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71,572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71,572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71,572</w:t>
            </w:r>
          </w:p>
        </w:tc>
      </w:tr>
      <w:tr>
        <w:trPr>
          <w:trHeight w:val="216"/>
        </w:trPr>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Totals</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7,150,833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5,967,724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5,967,724</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require, among other things, that we indemnify our directors and officers to the fullest extent permitted by law and advance to our directors and certain officers all related expenses, subject to reimbursement if it is subsequently determined that indemnification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16, 2026 relating to the beneficial ownership of our common stock by (i) all persons that we know beneficially own more than 5% of our outstanding common stock, (ii) each of our named executive officers and directors, and (iii) all of our executive officers and directors as a group. In accordance with SEC rules, beneficial ownership includes:</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the stockholder actually owns beneficially or of record;</w:t>
      </w:r>
    </w:p>
    <w:p>
      <w:pPr>
        <w:spacing w:after="0" w:line="27"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over which the stockholder has or shares voting or dispositive control (such as in the capacity as a general partner of an investment fund); and</w:t>
      </w:r>
    </w:p>
    <w:p>
      <w:pPr>
        <w:ind w:left="660" w:right="40" w:hanging="328"/>
        <w:spacing w:after="0" w:line="26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the stockholder has the right to acquire within 60 days (such as upon exercise of options that are currently vested or which are scheduled to vest within 60 days after April 16, 2026).</w:t>
      </w:r>
    </w:p>
    <w:p>
      <w:pPr>
        <w:spacing w:after="0" w:line="1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Knowledge of the beneficial ownership of our common stock is drawn solely from statements filed with the SEC pursuant to Section 13(d) or 13(g) of the Exchange Act. Except as otherwise indicated, to our knowledge, each stockholder listed below has sole voting and investment power with respect to the shares beneficially owned by the stockholder. The business address of the stockholders listed below is the address of our principal executive office, 3305 Flamingo Drive, Vero Beach, Florida 32963.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16"/>
        </w:trPr>
        <w:tc>
          <w:tcPr>
            <w:tcW w:w="2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57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Robert J. Dwyer</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1,476,339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2280" w:type="dxa"/>
            <w:vAlign w:val="bottom"/>
          </w:tcPr>
          <w:p>
            <w:pPr>
              <w:spacing w:after="0"/>
              <w:rPr>
                <w:sz w:val="18"/>
                <w:szCs w:val="18"/>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Robert E. Cauley(1)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1,560,215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280" w:type="dxa"/>
            <w:vAlign w:val="bottom"/>
            <w:shd w:val="clear" w:color="auto" w:fill="CCEEFF"/>
          </w:tcPr>
          <w:p>
            <w:pPr>
              <w:spacing w:after="0"/>
              <w:rPr>
                <w:sz w:val="18"/>
                <w:szCs w:val="18"/>
                <w:color w:val="auto"/>
              </w:rPr>
            </w:pP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George H. Haas, IV</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1,491,517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2280" w:type="dxa"/>
            <w:vAlign w:val="bottom"/>
          </w:tcPr>
          <w:p>
            <w:pPr>
              <w:spacing w:after="0"/>
              <w:rPr>
                <w:sz w:val="18"/>
                <w:szCs w:val="18"/>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Ashley B. Griffith</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2280" w:type="dxa"/>
            <w:vAlign w:val="bottom"/>
            <w:shd w:val="clear" w:color="auto" w:fill="CCEEFF"/>
          </w:tcPr>
          <w:p>
            <w:pPr>
              <w:spacing w:after="0"/>
              <w:rPr>
                <w:sz w:val="18"/>
                <w:szCs w:val="18"/>
                <w:color w:val="auto"/>
              </w:rPr>
            </w:pP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4,578,071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2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57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Robert E. Cauley</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36"/>
        </w:trPr>
        <w:tc>
          <w:tcPr>
            <w:tcW w:w="2280" w:type="dxa"/>
            <w:vAlign w:val="bottom"/>
          </w:tcPr>
          <w:p>
            <w:pPr>
              <w:spacing w:after="0"/>
              <w:rPr>
                <w:sz w:val="20"/>
                <w:szCs w:val="20"/>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7" w:lineRule="exact"/>
        <w:rPr>
          <w:sz w:val="20"/>
          <w:szCs w:val="20"/>
          <w:color w:val="auto"/>
        </w:rPr>
      </w:pPr>
    </w:p>
    <w:p>
      <w:pPr>
        <w:ind w:left="440" w:right="460" w:hanging="297"/>
        <w:spacing w:after="0" w:line="28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13,968 shares of Class A Common Stock over which Mr. Cauley has shared investment power with his adult children and (ii) 6,127 shares of Class A Common Stock over which Mr. Cauley has shared voting power with his spouse.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are required to file reports of initial ownership and changes in ownership of our securities with the SEC. To our knowledge, based solely on a review of copies of such reports filed with the SEC and written representations that no other reports were required, we believe that all such filing requirements were timely met.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its committee charter, the Audit Committee of the Board of Directors is responsible for reviewing and approving related person transactions. Related person transactions include those transactions required to be disclosed by Item 404 of Regulation S-K under the Exchange Act. As the Company is currently a “smaller reporting company” within the meaning of Regulation S-K, Item 404 requires disclosure of any transaction, since the beginning of the Company’s fiscal year immediately preceding the Company’s last fiscal year, or any currently proposed transaction, in which the Company was or is to be a participant and the amount involved exceeds the lesser of $120,000 or one percent of the average of the Company’s total assets at year-end for the last two completed fiscal years, and in which a related person had or will have a direct or indirect material interest. The term “related person” is defined in Item 404 and includes the Company’s directors, nominees for director, executive officers and each of their respective immediate family members, as well as any person that beneficially owns more than 5% of any class of the Company’s voting stock and each such person’s immediate family members, where applicable.</w:t>
      </w:r>
    </w:p>
    <w:p>
      <w:pPr>
        <w:spacing w:after="0" w:line="18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fulfilling its responsibility, the Audit Committee will review the relevant facts of each related person transaction or series of related transactions and either approve, ratify or disapprove such transaction or transactions. The Audit Committee will take into account such factors as it deems necessary or appropriate in deciding whether to approve, ratify or disapprove any related person transaction, including any one or more of the following:</w:t>
      </w:r>
    </w:p>
    <w:p>
      <w:pPr>
        <w:spacing w:after="0" w:line="176" w:lineRule="exact"/>
        <w:rPr>
          <w:sz w:val="20"/>
          <w:szCs w:val="20"/>
          <w:color w:val="auto"/>
        </w:rPr>
      </w:pPr>
    </w:p>
    <w:p>
      <w:pPr>
        <w:ind w:left="800" w:hanging="468"/>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the Company of the transaction;</w:t>
      </w:r>
    </w:p>
    <w:p>
      <w:pPr>
        <w:spacing w:after="0" w:line="225"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products or services;</w:t>
      </w:r>
    </w:p>
    <w:p>
      <w:pPr>
        <w:spacing w:after="0" w:line="225"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unrelated third parties or to employees generally; and</w:t>
      </w:r>
    </w:p>
    <w:p>
      <w:pPr>
        <w:spacing w:after="0" w:line="22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8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such director is a party to the transaction or such director, an immediate family member of such director, or an entity in which such director is an executive officer or has a direct or indirect material interest is a party to the transaction.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No director may participate in any consideration or approval of a related person transaction with respect to which such director or any of such director’s immediate family members is the related person or has a direct or indirect material interest. Related person transactions will only be approved if they are determined to be in, or not inconsistent with, the best interests of the Company and its stockholders.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solicits information from each of the Company’s directors and executive officers to identify related person transactions. If a related person transaction that has not been previously approved or previously ratified is identified, the Audit Committee will promptly consider all of the relevant facts. If the transaction is ongoing, the Audit Committee may ratify or request the rescission, amendment or termination of the related person transaction. If the transaction has been completed, the Audit Committee may seek to rescind the transaction where appropriate and may recommend that the Board or the Company take appropriate disciplinary action where warranted. In addition, the Audit Committee will generally review any ongoing related person transactions on an annual basis to determine whether to continue, modify or terminate such related person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Orchid</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Orchid is externally managed and advised by Bimini Advisors pursuant to the terms of a management agreement. Bimini Advisors is responsible for administering Orchid’s business activities and day-to-day operations and providing certain repurchase agreement trading, clearing and administrative services. Pursuant to the management agreement, Bimini Advisors provides Orchid with its management team, including its officers, along with appropriate support personnel. Bimini Advisors is at all times subject to the supervision and oversight of, and is only permitted to perform such functions designed by, Orchid’s board of directors.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Orchid pays Bimini Advisors a monthly management fee, payable in arrears, in the amount of:</w:t>
      </w:r>
    </w:p>
    <w:p>
      <w:pPr>
        <w:spacing w:after="0" w:line="225" w:lineRule="exact"/>
        <w:rPr>
          <w:sz w:val="20"/>
          <w:szCs w:val="20"/>
          <w:color w:val="auto"/>
        </w:rPr>
      </w:pPr>
    </w:p>
    <w:p>
      <w:pPr>
        <w:ind w:left="300" w:hanging="184"/>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 of the first $250 million of Orchid’s equity, as defined in the management agreement,</w:t>
      </w:r>
    </w:p>
    <w:p>
      <w:pPr>
        <w:spacing w:after="0" w:line="27"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Orchid’s equity that is greater than $250 million and less than or equal to $500 million, and</w:t>
      </w:r>
    </w:p>
    <w:p>
      <w:pPr>
        <w:spacing w:after="0" w:line="9"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Orchid’s equity that is greater than $500 million.</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ind w:firstLine="324"/>
        <w:spacing w:after="0" w:line="282" w:lineRule="auto"/>
        <w:rPr>
          <w:sz w:val="20"/>
          <w:szCs w:val="20"/>
          <w:color w:val="auto"/>
        </w:rPr>
      </w:pPr>
      <w:r>
        <w:rPr>
          <w:rFonts w:ascii="Times New Roman" w:cs="Times New Roman" w:eastAsia="Times New Roman" w:hAnsi="Times New Roman"/>
          <w:sz w:val="18"/>
          <w:szCs w:val="18"/>
          <w:color w:val="auto"/>
        </w:rPr>
        <w:t>Orchid is obligated to reimburse Bimini Advisors for any direct expenses incurred on its behalf. In addition, Bimini Advisors allocates to Orchid its pro rata portion of certain overhead costs as set forth in the management agreement.</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Orchid paid Bimini Advisors aggregate management fees of $12.7 million for the year ended December 31, 2025 and $9.4 million for the year ended December 31, 2024. During the years ended December 31, 2025 and 2024, Orchid reimbursed Bimini Advisors $2.8 million and $2.6 million, respectively, which represents an allocation of overhead expenses, including $0.7 million and $0.7 million, respectively, for its allocable share of the chief financial officer’s salary. In addition, during the years ended December 31, 2025 and 2024, Orchid paid Bimini $1.1 million and $0.8 million for repurchase agreement trading, clearing and administrative services. The term of the management agreement is automatically renewed in February of each year for an additional one-year term unless terminated by either party. Should Orchid terminate the management agreement without cause, it shall pay to Bimini Advisors a termination fee equal to three times the average annual management fee, as defined in the management agreement, before or on the last day of the existing renewal term.</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each of our directors are shareholders of Orchid, and Mr. Cauley and Mr. Haas are each a director and executive officer of Orchid.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Mr. Jaumot, a director of the Company until November 4, 2025, is the Director of Accounting and Auditing and a shareholder of the certified public accounting firm Ahearn, Jasco &amp; Company, P.A., which has provided tax, accounting, and SEC consulting services to the Company since 2003. Mr. Jaumot has been directly involved with services provided by Ahearn, Jasco &amp; Company, P.A. to the Company. During fiscal years 2025 and 2024, the Company paid Ahearn, Jasco &amp; Company, P.A. approximately $55,000 and $78,000,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any director, including the Chairman of the Board and the chairman of any committee of the Board or with the non-management directors as a group, by sending a letter to the attention of the appropriate person or persons (which may be marked as confidential) addressed in care of our corporate secretary at Bimini Capital Management, Inc., 3305 Flamingo Drive, Vero Beach, Florida 32963. All communications received by our corporate secretary will be forwarded to the intended recipient(s). Any such communications may be made anonymously.</w:t>
      </w:r>
    </w:p>
    <w:p>
      <w:pPr>
        <w:spacing w:after="0" w:line="183"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Concerns relating to accounting, internal controls or auditing matters are immediately brought to the attention of the Chair of the Audit Committee and handled in accordance with procedures approved by the Board of Directors with respect to such matters. A copy of such procedures for the submission and handling of complaints or concerns regarding accounting, internal accounting controls or auditing matters is included in our Code of Business Conduct and Ethics, which is published in the Corporate Governance section of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Any stockholder intending to present a proposal at our 2027 annual meeting of stockholders and have the proposal included in the proxy statement for such meeting must, in addition to complying with the applicable laws and regulations governing submissions of such proposals, submit the proposal in writing to us no later than December 28, 2026. To be included in the proxy statement for the 2027 annual meeting, the proposal must comply with the requirements as to form and substance established by the SEC and our bylaws, and must be a proper subject for stockholder action under Maryland law.</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Pursuant to our bylaws, any stockholder intending to nominate a director or present a proposal at an annual meeting of our stockholders without seeking to have such a nomination or proposal included in the proxy statement for such annual meeting, must notify us in writing not less than 60 days nor more than 90 days prior to the first anniversary of the preceding year’s annual meeting. Accordingly, any stockholder who intends to submit such a nomination or proposal at our 2027 annual meeting of stockholders must notify us in writing of such proposal by April 10, 2027, but in no event earlier than March 11, 2027. Any such nomination or proposal should be sent to Bimini Capital Management, Inc., 3305 Flamingo Drive, Vero Beach, Florida, 32963, Attn: Secretary, and, to the extent applicable, must include the information required by our bylaws.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a stockholder soliciting proxies in support of director candidates other than those nominated by the Board are subject to the SEC’s “universal proxy” rules and must provide notice that sets forth the information required by Rule 14a-19 under the Exchange Act. For any such director nominee to be included on our proxy card for next year’s annual meeting, our corporate secretary must receive notice under SEC Rule 14a-19 no later than April 10, 2027. Please note that the notice requirement under SEC Rule 14a-19 is in addition to the applicable notice requirements under the advance notice provisions of our bylaws described above.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OF PROXY STATEMENT AND ANNUAL REPORT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adopted a procedure permitted by the SEC rules allowing for the delivery of a single copy of the Notice of Annual Meeting of Stockholders or set of proxy materials to any household at which two or more stockholders reside, if it is believed the stockholders are members of the same family. This delivery method, known as “householding,” will save us printing and mailing costs. Duplicate account mailings will be eliminated by allowing stockholders to consent to such elimination, or through implied consent, if a stockholder does not request continuation of duplicate mailings. Brokers, dealers, banks or other nominees or fiduciaries that hold shares of our common stock in “street” name for beneficial owners of our common stock and that distribute proxy materials and the Notice of Annual Meeting of Stockholders they receive to beneficial owners may be householding. Depending upon the practices of your broker, bank or other nominee or fiduciary, you may need to contact them directly to discontinue duplicate mailings to your household or to revoke your consent to householding. To assist us in saving money and to provide you with better stockholder services, we encourage registered holders of our stock to have all of your accounts registered in the same name and address. You may do this, or request separate copies in the future, by contacting our transfer agent, Broadridge Corporate Issuer Solutions, Inc., by telephone at (877) 830-5402 or in writing at P.O. Box 1342, Brentwood, New York 11717. If you wish to request extra copies free of charge of any annual report to stockholders or proxy statement, please send your request to Bimini Capital Management, Inc., 3305 Flamingo Drive, Vero Beach, Florida 32963, Attn: Secretary, or contact our Secretary via telephone at (772) 231-1400.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2025 Annual Report is being mailed to stockholders concurrently with this proxy statement. The 2025 Annual Report, however, is not part of the proxy solicitation material. A copy of our 2025 Annual Report as filed with the SEC, which includes our consolidated financial statements for the year ended December 31, 2025, is available on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 You may obtain additional copies of our 2025 Annual Report free of charge by directing your request in writing to our corporate secretary at Bimini Capital Management, Inc., 3305 Flamingo Drive, Vero Beach, Florida 32963.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So far as is known, no matters other than those described herein are expected to come before the Annual Meeting. It is intended, however, that the proxies solicited hereby will be voted on any other matters which may properly come before the meeting, or any adjournment or postponement thereof, in the discretion of the person or persons voting such proxies unless the stockholder has indicated on the proxy card that the shares represented thereby are not to be voted on such other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Adjournments may be made for the purpose of, among other things, soliciting additional proxies. Any adjournment may be made from time to time by approval of the holders of a majority of the shares present in person or by proxy at the Annual Meeting (whether or not a quorum exists) without further notice other than by an announcement made at the Annual Meeting. If the Annual Meeting is adjourned or postponed for any reason, all proxies will be voted at the reconvened Annual Meeting in the same manner as such proxies would have been voted at the original convening of the Annual Meeting (except for proxies that have, at that time, effectively been revoked or withdrawn). The Company does not currently intend to seek an adjournment of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 Beach,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5143500" cy="6626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143500" cy="6652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lvl w:ilvl="1">
      <w:lvlJc w:val="left"/>
      <w:lvlText w:val="(%2)"/>
      <w:numFmt w:val="decimal"/>
      <w:start w:val="1"/>
    </w:lvl>
  </w:abstractNum>
  <w:abstractNum w:abstractNumId="14">
    <w:nsid w:val="431BD7B7"/>
    <w:multiLevelType w:val="hybridMultilevel"/>
    <w:lvl w:ilvl="0">
      <w:lvlJc w:val="left"/>
      <w:lvlText w:val="(%1)"/>
      <w:numFmt w:val="decimal"/>
      <w:start w:val="3"/>
    </w:lvl>
    <w:lvl w:ilvl="1">
      <w:lvlJc w:val="left"/>
      <w:lvlText w:val="(%2)"/>
      <w:numFmt w:val="decimal"/>
      <w:start w:val="4"/>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lvl w:ilvl="1">
      <w:lvlJc w:val="left"/>
      <w:lvlText w:val="(%2)"/>
      <w:numFmt w:val="lowerRoman"/>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2026-04-27T08:03:50Z</dcterms:created>
  <dcterms:modified xsi:type="dcterms:W3CDTF">2026-04-27T08:03:50Z</dcterms:modified>
</cp:coreProperties>
</file>