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 2026</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001-32171</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72-1571637</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780" w:space="720"/>
            <w:col w:w="2840" w:space="720"/>
            <w:col w:w="3180"/>
          </w:cols>
          <w:pgMar w:left="320" w:top="441" w:right="339" w:bottom="1440" w:gutter="0" w:footer="0" w:header="0"/>
          <w:type w:val="continuous"/>
        </w:sectPr>
      </w:pPr>
    </w:p>
    <w:p>
      <w:pPr>
        <w:spacing w:after="0" w:line="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3305 Flamingo Drive, Vero Beach, Florida 32963</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441"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(772) 231-1400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ind w:left="1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60" w:right="200"/>
        <w:spacing w:after="0" w:line="256" w:lineRule="auto"/>
        <w:rPr>
          <w:sz w:val="20"/>
          <w:szCs w:val="20"/>
          <w:color w:val="auto"/>
        </w:rPr>
      </w:pPr>
      <w:r>
        <w:rPr>
          <w:rFonts w:ascii="Times New Roman" w:cs="Times New Roman" w:eastAsia="Times New Roman" w:hAnsi="Times New Roman"/>
          <w:sz w:val="18"/>
          <w:szCs w:val="18"/>
          <w:color w:val="auto"/>
        </w:rPr>
        <w:t>On April 2, 2026, Bimini Capital Management, Inc. (the “Company”) filed a Current Report on Form 8-K (the “Original Report”) reporting the completion of the acquisition (the “Acquisition”) of eighty percent (80%) of the fully diluted equity interests of Tom Johnson Investment Management, LLC (“TJIM”) by Bimini Advisors Holdings, LLC, an indirect wholly owned subsidiary of the Company . At the time of filing the Original Report, the financial statements and pro forma financial information required by Item 9.01 of Form 8-K were not available. This Current Report on Form 8-K/A is being filed solely to provide the required financial statements and pro forma financial information under Item 9.01 of Form 8-K and does not amend or otherwise update the Original Report.</w:t>
      </w:r>
    </w:p>
    <w:p>
      <w:pPr>
        <w:spacing w:after="0" w:line="187" w:lineRule="exact"/>
        <w:rPr>
          <w:sz w:val="20"/>
          <w:szCs w:val="20"/>
          <w:color w:val="auto"/>
        </w:rPr>
      </w:pPr>
    </w:p>
    <w:p>
      <w:pPr>
        <w:ind w:left="160"/>
        <w:spacing w:after="0" w:line="261" w:lineRule="auto"/>
        <w:rPr>
          <w:sz w:val="20"/>
          <w:szCs w:val="20"/>
          <w:color w:val="auto"/>
        </w:rPr>
      </w:pPr>
      <w:r>
        <w:rPr>
          <w:rFonts w:ascii="Times New Roman" w:cs="Times New Roman" w:eastAsia="Times New Roman" w:hAnsi="Times New Roman"/>
          <w:sz w:val="18"/>
          <w:szCs w:val="18"/>
          <w:color w:val="auto"/>
        </w:rPr>
        <w:t>The pro forma financial information included in this amendment has been presented for informational purposes only, as required by Form 8-K. It does not purport to represent the actual results of operations that the Company and TJIM would have achieved had the companies been combined during the periods presented and is not intended to project the future financial results and results of operations that the companies may achieve after completion of the Acquisition.</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ind w:left="160" w:right="60"/>
        <w:spacing w:after="0" w:line="282" w:lineRule="auto"/>
        <w:rPr>
          <w:sz w:val="20"/>
          <w:szCs w:val="20"/>
          <w:color w:val="auto"/>
        </w:rPr>
      </w:pPr>
      <w:r>
        <w:rPr>
          <w:rFonts w:ascii="Times New Roman" w:cs="Times New Roman" w:eastAsia="Times New Roman" w:hAnsi="Times New Roman"/>
          <w:sz w:val="18"/>
          <w:szCs w:val="18"/>
          <w:color w:val="auto"/>
        </w:rPr>
        <w:t>The audited financial statements of TJIM as of and for the years ended December 31, 2025 and 2024, together with the notes thereto and the independent auditor’s report thereon, are filed as Exhibit 99.1 and incorporated herein by reference.</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Company as of and for the year ended December 31, 2025 giving effect to the Acquisition is filed as Exhibit 99.2 and incorporated herein by reference.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 Exhibits.</w:t>
            </w:r>
          </w:p>
        </w:tc>
        <w:tc>
          <w:tcPr>
            <w:tcW w:w="36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0"/>
        </w:trPr>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4"/>
        </w:trPr>
        <w:tc>
          <w:tcPr>
            <w:tcW w:w="164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6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Audited Financial Statements of Tom Johnson Investment Management, LLC as of and for the years ended December 31, 2025 and</w:t>
            </w:r>
          </w:p>
        </w:tc>
      </w:tr>
      <w:tr>
        <w:trPr>
          <w:trHeight w:val="196"/>
        </w:trPr>
        <w:tc>
          <w:tcPr>
            <w:tcW w:w="16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79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64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96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 as of and for the year ended December 31, 2025</w:t>
            </w:r>
          </w:p>
        </w:tc>
      </w:tr>
      <w:tr>
        <w:trPr>
          <w:trHeight w:val="237"/>
        </w:trPr>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8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1280" w:type="dxa"/>
            <w:vAlign w:val="bottom"/>
            <w:gridSpan w:val="2"/>
          </w:tcPr>
          <w:p>
            <w:pPr>
              <w:spacing w:after="0"/>
              <w:rPr>
                <w:sz w:val="20"/>
                <w:szCs w:val="20"/>
                <w:color w:val="auto"/>
              </w:rPr>
            </w:pPr>
          </w:p>
        </w:tc>
      </w:tr>
      <w:tr>
        <w:trPr>
          <w:trHeight w:val="1006"/>
        </w:trPr>
        <w:tc>
          <w:tcPr>
            <w:tcW w:w="1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7"/>
          <w:szCs w:val="17"/>
          <w:color w:val="auto"/>
        </w:rPr>
        <w:t>BIMINI CAPITAL MANAGEMENT, INC.</w:t>
      </w: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Robert E. 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Robert E. Cauley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Tom Johnson Investment Management, LLC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r>
      <w:tr>
        <w:trPr>
          <w:trHeight w:val="607"/>
        </w:trPr>
        <w:tc>
          <w:tcPr>
            <w:tcW w:w="38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420" w:type="dxa"/>
            <w:vAlign w:val="bottom"/>
          </w:tcPr>
          <w:p>
            <w:pPr>
              <w:spacing w:after="0"/>
              <w:rPr>
                <w:sz w:val="24"/>
                <w:szCs w:val="24"/>
                <w:color w:val="auto"/>
              </w:rPr>
            </w:pPr>
          </w:p>
        </w:tc>
      </w:tr>
      <w:tr>
        <w:trPr>
          <w:trHeight w:val="41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67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1</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3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Sheets</w:t>
            </w:r>
          </w:p>
        </w:tc>
        <w:tc>
          <w:tcPr>
            <w:tcW w:w="67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3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Income Statements</w:t>
            </w:r>
          </w:p>
        </w:tc>
        <w:tc>
          <w:tcPr>
            <w:tcW w:w="67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3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Statements of Changes in Members' Equity</w:t>
            </w:r>
          </w:p>
        </w:tc>
        <w:tc>
          <w:tcPr>
            <w:tcW w:w="67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3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Statements of Cash Flows</w:t>
            </w:r>
          </w:p>
        </w:tc>
        <w:tc>
          <w:tcPr>
            <w:tcW w:w="67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3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Notes to Financial Statements</w:t>
            </w:r>
          </w:p>
        </w:tc>
        <w:tc>
          <w:tcPr>
            <w:tcW w:w="6880" w:type="dxa"/>
            <w:vAlign w:val="bottom"/>
            <w:gridSpan w:val="3"/>
          </w:tcPr>
          <w:p>
            <w:pPr>
              <w:jc w:val="center"/>
              <w:ind w:left="669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810"/>
        </w:trPr>
        <w:tc>
          <w:tcPr>
            <w:tcW w:w="38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Independent Auditor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H. Parry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Johnson Investment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Robert S. Kerr, Suite 510 Oklahoma City, OK 73102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audited the financial​ statements of Tom Johnson Investment Management, LLC (the Company), which comprise the balance​ sheets as of</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December 31, 2025 and 2024, and the related statements​ of income, changes in members’ equity, and cash flows for the years then ended, and the related notes to the ​financial statements.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Responsibilities for the Audit of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880" w:hanging="31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7" w:lineRule="exact"/>
        <w:rPr>
          <w:rFonts w:ascii="Times New Roman" w:cs="Times New Roman" w:eastAsia="Times New Roman" w:hAnsi="Times New Roman"/>
          <w:sz w:val="18"/>
          <w:szCs w:val="18"/>
          <w:color w:val="auto"/>
        </w:rPr>
      </w:pPr>
    </w:p>
    <w:p>
      <w:pPr>
        <w:ind w:left="880" w:right="60" w:hanging="317"/>
        <w:spacing w:after="0" w:line="265" w:lineRule="auto"/>
        <w:tabs>
          <w:tab w:leader="none" w:pos="8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w:t>
      </w: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financial​ statements.</w:t>
      </w:r>
    </w:p>
    <w:p>
      <w:pPr>
        <w:spacing w:after="0" w:line="9" w:lineRule="exact"/>
        <w:rPr>
          <w:rFonts w:ascii="Times New Roman" w:cs="Times New Roman" w:eastAsia="Times New Roman" w:hAnsi="Times New Roman"/>
          <w:sz w:val="17"/>
          <w:szCs w:val="17"/>
          <w:color w:val="auto"/>
        </w:rPr>
      </w:pPr>
    </w:p>
    <w:p>
      <w:pPr>
        <w:ind w:left="880" w:right="40" w:hanging="317"/>
        <w:spacing w:after="0" w:line="250"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w:t>
      </w:r>
    </w:p>
    <w:p>
      <w:pPr>
        <w:spacing w:after="0" w:line="9"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 as evaluate the overall presentation of the financial​ statements.</w:t>
      </w:r>
    </w:p>
    <w:p>
      <w:pPr>
        <w:spacing w:after="0" w:line="9" w:lineRule="exact"/>
        <w:rPr>
          <w:rFonts w:ascii="Times New Roman" w:cs="Times New Roman" w:eastAsia="Times New Roman" w:hAnsi="Times New Roman"/>
          <w:sz w:val="18"/>
          <w:szCs w:val="18"/>
          <w:color w:val="auto"/>
        </w:rPr>
      </w:pPr>
    </w:p>
    <w:p>
      <w:pPr>
        <w:ind w:left="880" w:right="660" w:hanging="317"/>
        <w:spacing w:after="0" w:line="260"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Palm Beach, FL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796" w:right="33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Tom Johnson Investment Management, LLC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442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207,497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407,441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1,651,200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1,585,210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60,896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261,938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65,138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42,014</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2,272,133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2,160,699</w:t>
            </w: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benefits</w:t>
            </w:r>
          </w:p>
        </w:tc>
        <w:tc>
          <w:tcPr>
            <w:tcW w:w="3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1,364,726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639,656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262,487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66,788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18,075</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1,664,128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724,519</w:t>
            </w: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Members’ Equity</w:t>
            </w:r>
          </w:p>
        </w:tc>
        <w:tc>
          <w:tcPr>
            <w:tcW w:w="3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608,005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1,436,180</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35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2,272,133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2,160,699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58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Tom Johnson Investment Management, LLC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Income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Advisory services</w:t>
            </w:r>
          </w:p>
        </w:tc>
        <w:tc>
          <w:tcPr>
            <w:tcW w:w="4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6,156,500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6,020,721</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15,852</w:t>
            </w:r>
          </w:p>
        </w:tc>
      </w:tr>
      <w:tr>
        <w:trPr>
          <w:trHeight w:val="216"/>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Realized losses on investments</w:t>
            </w:r>
          </w:p>
        </w:tc>
        <w:tc>
          <w:tcPr>
            <w:tcW w:w="3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9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6,159,246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6,036,573</w:t>
            </w:r>
          </w:p>
        </w:tc>
      </w:tr>
      <w:tr>
        <w:trPr>
          <w:trHeight w:val="209"/>
        </w:trPr>
        <w:tc>
          <w:tcPr>
            <w:tcW w:w="4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3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3,502,585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2,757,722</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office expenses</w:t>
            </w:r>
          </w:p>
        </w:tc>
        <w:tc>
          <w:tcPr>
            <w:tcW w:w="3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316,504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297,273</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Portfolio services</w:t>
            </w:r>
          </w:p>
        </w:tc>
        <w:tc>
          <w:tcPr>
            <w:tcW w:w="3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203,964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142,400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 and memberships</w:t>
            </w:r>
          </w:p>
        </w:tc>
        <w:tc>
          <w:tcPr>
            <w:tcW w:w="3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179,786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136,921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Taxes and licenses</w:t>
            </w:r>
          </w:p>
        </w:tc>
        <w:tc>
          <w:tcPr>
            <w:tcW w:w="3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121,857</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72,100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9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59,975</w:t>
            </w:r>
          </w:p>
        </w:tc>
      </w:tr>
      <w:tr>
        <w:trPr>
          <w:trHeight w:val="209"/>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4,493,841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3,602,829</w:t>
            </w:r>
          </w:p>
        </w:tc>
      </w:tr>
      <w:tr>
        <w:trPr>
          <w:trHeight w:val="209"/>
        </w:trPr>
        <w:tc>
          <w:tcPr>
            <w:tcW w:w="40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1,665,405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2,433,744</w:t>
            </w:r>
          </w:p>
        </w:tc>
      </w:tr>
      <w:tr>
        <w:trPr>
          <w:trHeight w:val="209"/>
        </w:trPr>
        <w:tc>
          <w:tcPr>
            <w:tcW w:w="40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648"/>
        </w:trPr>
        <w:tc>
          <w:tcPr>
            <w:tcW w:w="4020" w:type="dxa"/>
            <w:vAlign w:val="bottom"/>
          </w:tcPr>
          <w:p>
            <w:pPr>
              <w:spacing w:after="0"/>
              <w:rPr>
                <w:sz w:val="24"/>
                <w:szCs w:val="24"/>
                <w:color w:val="auto"/>
              </w:rPr>
            </w:pPr>
          </w:p>
        </w:tc>
        <w:tc>
          <w:tcPr>
            <w:tcW w:w="39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02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0" w:right="339" w:bottom="1440" w:gutter="0" w:footer="0" w:header="0"/>
        </w:sectPr>
      </w:pPr>
    </w:p>
    <w:bookmarkStart w:id="9" w:name="page10"/>
    <w:bookmarkEnd w:id="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Tom Johnson Investment Management, LLC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Statements of Changes in Members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4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1,436,180</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1,718,122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2,433,744</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Member distributions</w:t>
            </w:r>
          </w:p>
        </w:tc>
        <w:tc>
          <w:tcPr>
            <w:tcW w:w="4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(2,493,580)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(2,715,686)</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608,005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1,436,180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4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Tom Johnson Investment Management, LLC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1,665,405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2,433,744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Noncash reduction in lease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(165,463)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20,408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benefits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725,070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75,351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2,293,636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2,377,190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members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(2,493,580)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(2,715,686)</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(2,493,580)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(2,715,686)</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(345,069)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the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407,441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752,510</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the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207,497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407,441</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p>
      <w:pPr>
        <w:spacing w:after="0" w:line="229" w:lineRule="exact"/>
        <w:rPr>
          <w:sz w:val="20"/>
          <w:szCs w:val="20"/>
          <w:color w:val="auto"/>
        </w:rPr>
      </w:pPr>
    </w:p>
    <w:p>
      <w:pPr>
        <w:ind w:left="160"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an amended operating lease agreement for office space and parking facilities. Upon lease commencement, the Company recognized right-of-use assets of $292,963 and corresponding operating lease liabilities of $292,963. These lease inception transactions did not require the use of cash and, therefore, are excluded from the statement of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Tom Johnson Investment Management,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Tom Johnson Investment Management, LLC (the “Company”) is a limited liability company organized under the laws of Oklahoma. The Company provides investment management and advisory services to individual and institutional clients. Revenue is derived primarily from management fees earned on assets under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22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(“U.S. GAAP”).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ind w:right="760"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consist primarily of management fees billed to clients in the ordinary course of business. The Company evaluates the collectability of receivables and records an allowance for credit losses when deemed necessary. Management believes all receivables were fully collectible at December 31, 2025 and 2024; accordingly, no allowance for credit losses was recorded.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Property and equipment are recorded at cost. Depreciation is computed using the straight-line method over the estimated useful lives of the related assets, generally ranging from three to seven years. Repairs and maintenance are expensed as incurred. Major renewals and improvements are capitalized.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Financial Accounting Standards Board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Advisory service fee income is earned pursuant to investment advisory agreements and is generally calculated as a percentage of assets under management. Revenue is recognized over time as investment management services are provided. Interest and dividend income is recognized when earned. Realized and unrealized gains and losses on investments are recognized when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treated as a pass-through entity for federal and state income tax purposes. Accordingly, taxable income or loss is included in the tax returns of the members. Therefore, no provision for income taxes has been included in the accompanying financial statements. Management evaluated the Company’s tax positions and concluded that the Company had taken no uncertain tax positions that require adjustment to the financial statements.</w:t>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360" w:right="339" w:bottom="1440" w:gutter="0" w:footer="0" w:header="0"/>
        </w:sectPr>
      </w:pPr>
    </w:p>
    <w:bookmarkStart w:id="12" w:name="page13"/>
    <w:bookmarkEnd w:id="12"/>
    <w:p>
      <w:pPr>
        <w:ind w:left="1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left="160" w:right="8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other liabilities approximate fair value because of the short-term nature of these instruments.</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27" w:lineRule="exact"/>
        <w:rPr>
          <w:sz w:val="20"/>
          <w:szCs w:val="20"/>
          <w:color w:val="auto"/>
        </w:rPr>
      </w:pPr>
    </w:p>
    <w:p>
      <w:pPr>
        <w:ind w:left="160" w:right="740"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deposits and accounts receivable. The Company maintains cash balances at financial institutions that may, at times, exceed federally insured limits.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Note 3. Property and Equipment</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Property and equipment consisted of the following at December 31:</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129,827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129,827</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(68,931)</w:t>
            </w:r>
          </w:p>
        </w:tc>
      </w:tr>
      <w:tr>
        <w:trPr>
          <w:trHeight w:val="250"/>
        </w:trPr>
        <w:tc>
          <w:tcPr>
            <w:tcW w:w="8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60,896</w:t>
            </w: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and 2024 was $13,794 and $7,584, respectively.</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4. Lease Commitments</w:t>
      </w:r>
    </w:p>
    <w:p>
      <w:pPr>
        <w:spacing w:after="0" w:line="229" w:lineRule="exact"/>
        <w:rPr>
          <w:sz w:val="20"/>
          <w:szCs w:val="20"/>
          <w:color w:val="auto"/>
        </w:rPr>
      </w:pPr>
    </w:p>
    <w:p>
      <w:pPr>
        <w:ind w:left="1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leases office space, including related parking facilities, under a non-cancelable operating lease agreement. The lease expires on August 1, 2028. Operating lease costs for the years ended December 31, 2025 and 2024 were $100,113 and $98,736, respectively. The Company accounts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whether an arrangement contains a lease at inception. Operating lease right-of-use assets and operating lease liabilities are recognized at the commencement date based on the present value of future lease payments over the lease term. Lease payments include fixed monthly office rent and fixed parking fees associated with employee and management parking spaces. As the rate implicit in the lease was not readily determinable, the Company utilized a risk-free rate based on information available at the commencement date in determining the present value of lease payments.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was as follows at December 31:</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65,138</w:t>
            </w: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(262,487)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(66,788)</w:t>
            </w:r>
          </w:p>
        </w:tc>
        <w:tc>
          <w:tcPr>
            <w:tcW w:w="0" w:type="dxa"/>
            <w:vAlign w:val="bottom"/>
          </w:tcPr>
          <w:p>
            <w:pPr>
              <w:spacing w:after="0"/>
              <w:rPr>
                <w:sz w:val="1"/>
                <w:szCs w:val="1"/>
                <w:color w:val="auto"/>
              </w:rPr>
            </w:pPr>
          </w:p>
        </w:tc>
      </w:tr>
      <w:tr>
        <w:trPr>
          <w:trHeight w:val="414"/>
        </w:trPr>
        <w:tc>
          <w:tcPr>
            <w:tcW w:w="8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 (months)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414"/>
        </w:trPr>
        <w:tc>
          <w:tcPr>
            <w:tcW w:w="8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Future minimum lease payments under operating leases as of December 31, 2025 were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102,044</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103,692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69,128</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274,864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262,487</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Retirement Plan</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retirement plan covering substantially all employees. Contributions are determined annually at the discretion of management. Retirement plan expense totaling $278,000 and $284,000 for the years ended December 31, 2025 and 2024, respectively, is included in Compensation and related benefits expense in the accompanying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its members and affiliated entities. Management believes such transactions are conducted on terms comparable to those available from unrelated parties. The Company is managed by its President, who was previously the principal owner of the Company, and who currently owns 20% of the Company (see Note 8). The Company made distributions to its owner totaling $2.5 million and $2.7 million in 2025 and 2024, respectively. Certain relatives of members of management are also clients of the Company and have assets under management for which the Company provides investment advisory services. During the years ended December 31, 2025 and 2024, the Company earned investment advisory fees of $103,026 and $88,436, respectively, from relatives of management related to assets under management. Such fees are charged on a quarterly basis in accordance with the Company’s standard fee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be involved in various claims and legal actions arising in the ordinary course of business. Management is not aware of any claims or legal proceedings that could have a material adverse effect on the financial condition, results of operations, or cash flows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Acquisition by Bimini Capital Management, Inc.</w:t>
      </w:r>
    </w:p>
    <w:p>
      <w:pPr>
        <w:spacing w:after="0" w:line="229" w:lineRule="exact"/>
        <w:rPr>
          <w:sz w:val="20"/>
          <w:szCs w:val="20"/>
          <w:color w:val="auto"/>
        </w:rPr>
      </w:pPr>
    </w:p>
    <w:p>
      <w:pPr>
        <w:ind w:left="140" w:right="100" w:firstLine="324"/>
        <w:spacing w:after="0" w:line="266" w:lineRule="auto"/>
        <w:rPr>
          <w:sz w:val="20"/>
          <w:szCs w:val="20"/>
          <w:color w:val="auto"/>
        </w:rPr>
      </w:pPr>
      <w:r>
        <w:rPr>
          <w:rFonts w:ascii="Times New Roman" w:cs="Times New Roman" w:eastAsia="Times New Roman" w:hAnsi="Times New Roman"/>
          <w:sz w:val="18"/>
          <w:szCs w:val="18"/>
          <w:color w:val="auto"/>
        </w:rPr>
        <w:t>On April 1, 2026, the owners of the Company completed the sale of 80% of their interests in the Company to a subsidiary of Bimini Capital Management, Inc. (“Bimini”). The purchase price was approximately $12.3 million. The transaction agreement includes mutual put and call rights that could result in Bimini’s acquisition of the remaining 20% interest retained by its President (see Note 6).</w:t>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480" w:top="576"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BIMINI CAPITAL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PRO FORMA CONDENSED COMBINED FINANCIAL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April 1, 2026, Bimini Advisors Holdings, LLC, an indirect wholly owned subsidiary of Bimini Capital Management, Inc. (“Acquirer”), completed the acquisition (the "Acquisition") of eighty percent (80%) of the fully diluted equity interests of Tom Johnson Investment Management, LLC (“Target”), a registered investment adviser, pursuant to the Membership Interest Purchase Agreement, dated January 13, 2026.</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to illustrate the pro forma effects of the Acquisition on the historical financial position and results of operations of Acquirer.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balance sheet gives effect to the Acquisition as if it had occurred on December 31, 2025.</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gives effect to the Acquisition as if it had occurred on January 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Limitations of Unaudited Pro Forma Financial Information</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 forma information is based on information currently available, including certain assumptions and estimates that management believes are reasonable. The information is presented for illustrative purposes only and is not necessarily indicative of the results of operations or financial position that would have occurred had the Acquisition been completed on the dates assumed, nor is it indicative of future operating results or financial position, as the Acquirer's future results of operations and financial position may differ significantly from the pro forma amounts reflected herein due to a variety of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42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BIMINI CAPITAL MANAGEMENT, INC.</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11"/>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UNAUDITED PRO FORMA CONDENSED COMBINED BALANCE SHEET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gridSpan w:val="6"/>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Acquirer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(See Note 3)</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88,929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16,389</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12,697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2,807</w:t>
            </w:r>
          </w:p>
        </w:tc>
        <w:tc>
          <w:tcPr>
            <w:tcW w:w="340" w:type="dxa"/>
            <w:vAlign w:val="bottom"/>
          </w:tcPr>
          <w:p>
            <w:pPr>
              <w:spacing w:after="0"/>
              <w:rPr>
                <w:sz w:val="17"/>
                <w:szCs w:val="17"/>
                <w:color w:val="auto"/>
              </w:rPr>
            </w:pPr>
          </w:p>
        </w:tc>
        <w:tc>
          <w:tcPr>
            <w:tcW w:w="112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7"/>
                <w:szCs w:val="17"/>
                <w:color w:val="auto"/>
              </w:rPr>
            </w:pPr>
          </w:p>
        </w:tc>
        <w:tc>
          <w:tcPr>
            <w:tcW w:w="11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34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Orchid Island Capital, Inc., at fair value</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17,240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5,018</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Identified intangibles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9,700</w:t>
            </w:r>
          </w:p>
        </w:tc>
        <w:tc>
          <w:tcPr>
            <w:tcW w:w="34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3,819</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129,694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2,272</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(68,609)</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63,357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2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85,326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27,347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7,534</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1,456</w:t>
            </w:r>
          </w:p>
        </w:tc>
        <w:tc>
          <w:tcPr>
            <w:tcW w:w="340" w:type="dxa"/>
            <w:vAlign w:val="bottom"/>
          </w:tcPr>
          <w:p>
            <w:pPr>
              <w:spacing w:after="0"/>
              <w:rPr>
                <w:sz w:val="20"/>
                <w:szCs w:val="20"/>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117,071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(68,302)</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50,433</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4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12,623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9,844</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6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608</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12,924</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 STOCKHOLDERS'</w:t>
            </w:r>
          </w:p>
        </w:tc>
        <w:tc>
          <w:tcPr>
            <w:tcW w:w="122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129,694</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2,272</w:t>
            </w:r>
          </w:p>
        </w:tc>
        <w:tc>
          <w:tcPr>
            <w:tcW w:w="12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(68,609)</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63,357</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EQUITY</w:t>
            </w:r>
          </w:p>
        </w:tc>
        <w:tc>
          <w:tcPr>
            <w:tcW w:w="122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39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Acquirer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38"/>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(See Note 3)</w:t>
            </w: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09"/>
        </w:trPr>
        <w:tc>
          <w:tcPr>
            <w:tcW w:w="39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services revenues</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16,575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22,732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3,123</w:t>
            </w: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3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16,891</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6,159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(1,369)</w:t>
            </w: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21,681</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Other income</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color w:val="auto"/>
              </w:rPr>
              <w:t>205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(1,743)</w:t>
            </w:r>
          </w:p>
        </w:tc>
        <w:tc>
          <w:tcPr>
            <w:tcW w:w="92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(a)</w:t>
            </w:r>
          </w:p>
        </w:tc>
        <w:tc>
          <w:tcPr>
            <w:tcW w:w="11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1,580</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and liability insurance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administrative expenses</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2,298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1,510</w:t>
            </w:r>
          </w:p>
        </w:tc>
        <w:tc>
          <w:tcPr>
            <w:tcW w:w="92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(c)</w:t>
            </w:r>
          </w:p>
        </w:tc>
        <w:tc>
          <w:tcPr>
            <w:tcW w:w="11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12,604</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4,494</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2,190</w:t>
            </w:r>
          </w:p>
        </w:tc>
        <w:tc>
          <w:tcPr>
            <w:tcW w:w="8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19,288</w:t>
            </w:r>
          </w:p>
        </w:tc>
      </w:tr>
      <w:tr>
        <w:trPr>
          <w:trHeight w:val="407"/>
        </w:trPr>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4,492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(3,722)</w:t>
            </w:r>
          </w:p>
        </w:tc>
        <w:tc>
          <w:tcPr>
            <w:tcW w:w="80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2,435</w:t>
            </w:r>
          </w:p>
        </w:tc>
      </w:tr>
      <w:tr>
        <w:trPr>
          <w:trHeight w:val="234"/>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-556895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-273685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60" w:space="720"/>
            <w:col w:w="5960"/>
          </w:cols>
          <w:pgMar w:left="320" w:top="576"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5,801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(2,940)</w:t>
            </w:r>
          </w:p>
        </w:tc>
        <w:tc>
          <w:tcPr>
            <w:tcW w:w="8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4,526</w:t>
            </w: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Income attributable to noncontrolling interests</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Bimini Capital Management, Inc.</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5,801</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(3,166)</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4,300</w:t>
            </w:r>
          </w:p>
        </w:tc>
      </w:tr>
      <w:tr>
        <w:trPr>
          <w:trHeight w:val="197"/>
        </w:trPr>
        <w:tc>
          <w:tcPr>
            <w:tcW w:w="49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10,005</w:t>
            </w:r>
          </w:p>
        </w:tc>
      </w:tr>
      <w:tr>
        <w:trPr>
          <w:trHeight w:val="574"/>
        </w:trPr>
        <w:tc>
          <w:tcPr>
            <w:tcW w:w="4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in accordance with Article 11 of Regulation S-X and gives effect to the Acquisition using the acquisition method of accounting under Accounting Standards Codification 805, Business Combinations. Certain information and disclosures normally included in financial statements prepared in accordance with U.S. generally accepted accounting principles have been omitted from this report, as permitted by such rules and regulations. The unaudited pro forma condensed combined financial information includes estimated adjustments to record the acquired assets and assumed liabilities of the Target at their respective fair values and represents management’s estimates based on the information available as of June 17, 2026. The pro forma adjustments included herein may be revised as additional information becomes available and as additional analysis is performed. The final allocation of the purchase price will be determined after completion of a final analysis to determine the fair values of Target's tangible and identifiable intangible assets and liabilities as of the closing date of the Acquisition.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Note 2 – Preliminary Estimated Purchase Price Allocation</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The preliminary purchase price allocation is summarized as follows ($ in thousands):</w:t>
            </w: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7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including transaction costs</w:t>
            </w:r>
          </w:p>
        </w:tc>
        <w:tc>
          <w:tcPr>
            <w:tcW w:w="22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deferred consideration</w:t>
            </w:r>
          </w:p>
        </w:tc>
        <w:tc>
          <w:tcPr>
            <w:tcW w:w="1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12,316</w:t>
            </w:r>
          </w:p>
        </w:tc>
      </w:tr>
      <w:tr>
        <w:trPr>
          <w:trHeight w:val="216"/>
        </w:trPr>
        <w:tc>
          <w:tcPr>
            <w:tcW w:w="7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 allocated to:</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1,630</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 intangible</w:t>
            </w: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Client relationships intangible</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8,700</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49"/>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7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remains preliminary and may be revised upon completion of valuation analyses.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Transaction Adjustments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related to the acquisition included in the unaudited pro forma condensed combined balance sheet as of December 31, 2025.</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additional details about the methods and assumptions used to determine the transaction accounting adjustments in the unaudited pro forma condensed combined balance sheet. All adjustments are based on current assumptions and/or valuations, which are subject to change.</w:t>
      </w:r>
    </w:p>
    <w:p>
      <w:pPr>
        <w:spacing w:after="0" w:line="162" w:lineRule="exact"/>
        <w:rPr>
          <w:sz w:val="20"/>
          <w:szCs w:val="20"/>
          <w:color w:val="auto"/>
        </w:rPr>
      </w:pPr>
    </w:p>
    <w:p>
      <w:pPr>
        <w:ind w:left="280" w:right="200" w:hanging="272"/>
        <w:spacing w:after="0" w:line="257"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give effect to 2026 sales of $72.5 million of the Acquirer's mortgage-backed securities and redemptions of $69.9 million of repurchase agreements to facilitate the Acquisition. The adjustment results in an increase in cash and cash equivalents of $2.8 million, a decrease in accrued interest receivable of $0.3 million and a decrease in accrued interest payable of $0.2 million.</w:t>
      </w:r>
    </w:p>
    <w:p>
      <w:pPr>
        <w:spacing w:after="0" w:line="1" w:lineRule="exact"/>
        <w:rPr>
          <w:rFonts w:ascii="Times New Roman" w:cs="Times New Roman" w:eastAsia="Times New Roman" w:hAnsi="Times New Roman"/>
          <w:sz w:val="18"/>
          <w:szCs w:val="18"/>
          <w:color w:val="auto"/>
        </w:rPr>
      </w:pPr>
    </w:p>
    <w:p>
      <w:pPr>
        <w:ind w:left="280" w:right="4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reflect cash consideration paid in connection with the Acquisition totaling $12.0 million and Acquirer transaction costs paid at closing of $0.1 million.</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record acquired finite lived intangibles, including client relationship intangible of $8.7 million and tradename intangible of $1.0 million.</w:t>
      </w:r>
    </w:p>
    <w:p>
      <w:pPr>
        <w:spacing w:after="0" w:line="9" w:lineRule="exact"/>
        <w:rPr>
          <w:rFonts w:ascii="Times New Roman" w:cs="Times New Roman" w:eastAsia="Times New Roman" w:hAnsi="Times New Roman"/>
          <w:sz w:val="18"/>
          <w:szCs w:val="18"/>
          <w:color w:val="auto"/>
        </w:rPr>
      </w:pPr>
    </w:p>
    <w:p>
      <w:pPr>
        <w:ind w:left="280" w:right="38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record the goodwill of $3.8 million as a result of the preliminary purchase price allocation. Refer to "Note 2 - Preliminary Estimated Purchase Price Allocation."</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accrue deferred transaction consideration, at fair value.</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accrue nonrecurring transaction costs incurred by the Acquirer subsequent to December 31, 2025.</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establish noncontrolling interest in Target, at fair value.</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Target's historical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Adjustments related to the acquisition included in the unaudited pro forma condensed combined statements of income for the year ended December 31, 2025.</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additional details about the methods and assumptions used to determine the transaction accounting adjustments in the unaudited pro forma condensed combined statements of income. All adjustments are based on current assumptions and/or valuations, which are subject to change.</w:t>
      </w:r>
    </w:p>
    <w:p>
      <w:pPr>
        <w:spacing w:after="0" w:line="162" w:lineRule="exact"/>
        <w:rPr>
          <w:sz w:val="20"/>
          <w:szCs w:val="20"/>
          <w:color w:val="auto"/>
        </w:rPr>
      </w:pPr>
    </w:p>
    <w:p>
      <w:pPr>
        <w:ind w:left="280" w:right="200" w:hanging="272"/>
        <w:spacing w:after="0" w:line="261"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Acquirer's 2025 interest income, interest expense and fair value adjustments attributed to mortgage-backed securities sold, and related redeemed repurchase agreement borrowings that were terminated in 2026 to facilitate the acquisition.</w:t>
      </w:r>
    </w:p>
    <w:p>
      <w:pPr>
        <w:ind w:left="280" w:right="160" w:hanging="272"/>
        <w:spacing w:after="0" w:line="250"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the Acquirer's 2025 fair value adjustments associated with derivative instruments utilized to hedge mortgage-backed securities, as discussed in note (a) above. The adjustment was determined by multiplying the total 2025 fair value adjustment by the ratio of the December 31, 2025 fair value of the assets sold to the fair value of the entire hedged portfolio.</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record nonrecurring transaction costs incurred by the Acquirer subsequent to December 31, 2025.</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reflect amortization of acquired finite lived intangible assets.</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recognize tax impact of associated with the transaction adjustments recorded above at the statutory rate of 21%.</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Management believes the assumptions used provide a reasonable basis for presenting the significant effects of the Acquisition. The actual purchase price allocation and resulting adjustments may differ materially from those reflected herein.</w:t>
      </w:r>
    </w:p>
    <w:sectPr>
      <w:pgSz w:w="11900" w:h="16838" w:orient="portrait"/>
      <w:cols w:equalWidth="0" w:num="1">
        <w:col w:w="11240"/>
      </w:cols>
      <w:pgMar w:left="320" w:top="5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2026-06-17T07:46:55Z</dcterms:created>
  <dcterms:modified xsi:type="dcterms:W3CDTF">2026-06-17T07:46:55Z</dcterms:modified>
</cp:coreProperties>
</file>