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bcmi20260402c_8k.htm"/>
      <w:bookmarkStart w:id="1" w:name="ksbcmi20260402c_8k"/>
      <w:bookmarkEnd w:id="0"/>
      <w:bookmarkEnd w:id="1"/>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UNITED STATES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SECURITIES AND EXCHANGE COMMISSION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Washington, D.C. 20549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FORM 8-K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CURRENT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Section 13 or 15(d) of the</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Date of Report (Date of earliest event reported):  </w:t>
      </w:r>
      <w:r>
        <w:rPr>
          <w:rFonts w:ascii="Times New Roman" w:hAnsi="Times New Roman"/>
          <w:b/>
          <w:caps w:val="false"/>
          <w:smallCaps w:val="false"/>
          <w:sz w:val="20"/>
        </w:rPr>
        <w:t>April 1, 2026</w:t>
      </w:r>
    </w:p>
    <w:p>
      <w:pPr>
        <w:pStyle w:val="TextBody"/>
        <w:bidi w:val="0"/>
        <w:spacing w:before="0" w:after="0"/>
        <w:ind w:left="0" w:right="0" w:hanging="0"/>
        <w:jc w:val="left"/>
        <w:rPr>
          <w:caps w:val="false"/>
          <w:smallCaps w:val="false"/>
        </w:rPr>
      </w:pPr>
      <w:r>
        <w:rPr>
          <w:caps w:val="false"/>
          <w:smallCaps w:val="false"/>
        </w:rPr>
        <w:t> </w:t>
      </w:r>
    </w:p>
    <w:tbl>
      <w:tblPr>
        <w:tblW w:w="4415" w:type="dxa"/>
        <w:jc w:val="left"/>
        <w:tblInd w:w="0" w:type="dxa"/>
        <w:tblLayout w:type="fixed"/>
        <w:tblCellMar>
          <w:top w:w="0" w:type="dxa"/>
          <w:left w:w="0" w:type="dxa"/>
          <w:bottom w:w="0" w:type="dxa"/>
          <w:right w:w="0" w:type="dxa"/>
        </w:tblCellMar>
      </w:tblPr>
      <w:tblGrid>
        <w:gridCol w:w="4415"/>
      </w:tblGrid>
      <w:tr>
        <w:trPr/>
        <w:tc>
          <w:tcPr>
            <w:tcW w:w="4415" w:type="dxa"/>
            <w:tcBorders/>
            <w:vAlign w:val="center"/>
          </w:tcPr>
          <w:p>
            <w:pPr>
              <w:pStyle w:val="TableContents"/>
              <w:bidi w:val="0"/>
              <w:spacing w:before="0" w:after="283"/>
              <w:jc w:val="left"/>
              <w:rPr/>
            </w:pPr>
            <w:r>
              <w:rPr/>
              <w:t> </w:t>
            </w:r>
          </w:p>
        </w:tc>
      </w:tr>
      <w:tr>
        <w:trPr/>
        <w:tc>
          <w:tcPr>
            <w:tcW w:w="441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Bimini Capital Management, Inc.</w:t>
            </w:r>
          </w:p>
        </w:tc>
      </w:tr>
      <w:tr>
        <w:trPr/>
        <w:tc>
          <w:tcPr>
            <w:tcW w:w="441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(Exact name of registrant as specified in its charter)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8595" w:type="dxa"/>
        <w:jc w:val="left"/>
        <w:tblInd w:w="0" w:type="dxa"/>
        <w:tblLayout w:type="fixed"/>
        <w:tblCellMar>
          <w:top w:w="0" w:type="dxa"/>
          <w:left w:w="0" w:type="dxa"/>
          <w:bottom w:w="0" w:type="dxa"/>
          <w:right w:w="0" w:type="dxa"/>
        </w:tblCellMar>
      </w:tblPr>
      <w:tblGrid>
        <w:gridCol w:w="3620"/>
        <w:gridCol w:w="2210"/>
        <w:gridCol w:w="2765"/>
      </w:tblGrid>
      <w:tr>
        <w:trPr/>
        <w:tc>
          <w:tcPr>
            <w:tcW w:w="362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Maryland</w:t>
            </w:r>
          </w:p>
        </w:tc>
        <w:tc>
          <w:tcPr>
            <w:tcW w:w="221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001-32171</w:t>
            </w:r>
          </w:p>
        </w:tc>
        <w:tc>
          <w:tcPr>
            <w:tcW w:w="276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72-1571637</w:t>
            </w:r>
          </w:p>
        </w:tc>
      </w:tr>
      <w:tr>
        <w:trPr/>
        <w:tc>
          <w:tcPr>
            <w:tcW w:w="362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 Incorporation)</w:t>
            </w:r>
          </w:p>
        </w:tc>
        <w:tc>
          <w:tcPr>
            <w:tcW w:w="22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 File Number)</w:t>
            </w:r>
          </w:p>
        </w:tc>
        <w:tc>
          <w:tcPr>
            <w:tcW w:w="276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3305 Flamingo Drive, Vero Beach, Florida 32963</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Registrant’s telephone number, including area code </w:t>
      </w:r>
      <w:r>
        <w:rPr>
          <w:rFonts w:ascii="Times New Roman" w:hAnsi="Times New Roman"/>
          <w:b/>
          <w:caps w:val="false"/>
          <w:smallCaps w:val="false"/>
          <w:sz w:val="20"/>
        </w:rPr>
        <w:t>(772) 231-1400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10" w:type="dxa"/>
        <w:jc w:val="left"/>
        <w:tblInd w:w="0" w:type="dxa"/>
        <w:tblLayout w:type="fixed"/>
        <w:tblCellMar>
          <w:top w:w="0" w:type="dxa"/>
          <w:left w:w="0" w:type="dxa"/>
          <w:bottom w:w="0" w:type="dxa"/>
          <w:right w:w="0" w:type="dxa"/>
        </w:tblCellMar>
      </w:tblPr>
      <w:tblGrid>
        <w:gridCol w:w="230"/>
        <w:gridCol w:w="728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2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Written communications pursuant to Rule 425 under the Securities Act (17 CFR 230.425)</w:t>
            </w:r>
          </w:p>
        </w:tc>
      </w:tr>
    </w:tbl>
    <w:p>
      <w:pPr>
        <w:pStyle w:val="TextBody"/>
        <w:bidi w:val="0"/>
        <w:spacing w:before="0" w:after="0"/>
        <w:ind w:left="0" w:right="0" w:hanging="0"/>
        <w:jc w:val="left"/>
        <w:rPr/>
      </w:pPr>
      <w:r>
        <w:rPr/>
        <w:t> </w:t>
      </w:r>
    </w:p>
    <w:tbl>
      <w:tblPr>
        <w:tblW w:w="7540" w:type="dxa"/>
        <w:jc w:val="left"/>
        <w:tblInd w:w="0" w:type="dxa"/>
        <w:tblLayout w:type="fixed"/>
        <w:tblCellMar>
          <w:top w:w="0" w:type="dxa"/>
          <w:left w:w="0" w:type="dxa"/>
          <w:bottom w:w="0" w:type="dxa"/>
          <w:right w:w="0" w:type="dxa"/>
        </w:tblCellMar>
      </w:tblPr>
      <w:tblGrid>
        <w:gridCol w:w="230"/>
        <w:gridCol w:w="731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3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Soliciting material pursuant to Rule 14a-12 under the Exchange Act (17 CFR 240.14a-12)</w:t>
            </w:r>
          </w:p>
        </w:tc>
      </w:tr>
    </w:tbl>
    <w:p>
      <w:pPr>
        <w:pStyle w:val="TextBody"/>
        <w:bidi w:val="0"/>
        <w:spacing w:before="0" w:after="0"/>
        <w:ind w:left="0" w:right="0" w:hanging="0"/>
        <w:jc w:val="left"/>
        <w:rPr/>
      </w:pPr>
      <w:r>
        <w:rPr/>
        <w:t> </w:t>
      </w:r>
    </w:p>
    <w:tbl>
      <w:tblPr>
        <w:tblW w:w="9280" w:type="dxa"/>
        <w:jc w:val="left"/>
        <w:tblInd w:w="0" w:type="dxa"/>
        <w:tblLayout w:type="fixed"/>
        <w:tblCellMar>
          <w:top w:w="0" w:type="dxa"/>
          <w:left w:w="0" w:type="dxa"/>
          <w:bottom w:w="0" w:type="dxa"/>
          <w:right w:w="0" w:type="dxa"/>
        </w:tblCellMar>
      </w:tblPr>
      <w:tblGrid>
        <w:gridCol w:w="230"/>
        <w:gridCol w:w="905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Pre-commencement communications pursuant to Rule 14d-2(b) under the Exchange Act (17 CFR 240.14d-2(b))</w:t>
            </w:r>
          </w:p>
        </w:tc>
      </w:tr>
    </w:tbl>
    <w:p>
      <w:pPr>
        <w:pStyle w:val="TextBody"/>
        <w:bidi w:val="0"/>
        <w:spacing w:before="0" w:after="0"/>
        <w:ind w:left="0" w:right="0" w:hanging="0"/>
        <w:jc w:val="left"/>
        <w:rPr/>
      </w:pPr>
      <w:r>
        <w:rPr/>
        <w:t> </w:t>
      </w:r>
    </w:p>
    <w:tbl>
      <w:tblPr>
        <w:tblW w:w="9220" w:type="dxa"/>
        <w:jc w:val="left"/>
        <w:tblInd w:w="0" w:type="dxa"/>
        <w:tblLayout w:type="fixed"/>
        <w:tblCellMar>
          <w:top w:w="0" w:type="dxa"/>
          <w:left w:w="0" w:type="dxa"/>
          <w:bottom w:w="0" w:type="dxa"/>
          <w:right w:w="0" w:type="dxa"/>
        </w:tblCellMar>
      </w:tblPr>
      <w:tblGrid>
        <w:gridCol w:w="230"/>
        <w:gridCol w:w="899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9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 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as defined in Rule 405 of the Securities Act of 1933 (§230.405 of this chapter) or Rule 12b-2 of the Securities Exchange Act of 1934 (§240.12b-2 of this chapter).</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160" w:right="0" w:hanging="0"/>
        <w:jc w:val="left"/>
        <w:rPr>
          <w:rFonts w:ascii="Times New Roman" w:hAnsi="Times New Roman"/>
          <w:b/>
          <w:caps w:val="false"/>
          <w:smallCaps w:val="false"/>
          <w:sz w:val="20"/>
        </w:rPr>
      </w:pPr>
      <w:r>
        <w:rPr>
          <w:rFonts w:ascii="Times New Roman" w:hAnsi="Times New Roman"/>
          <w:b/>
          <w:caps w:val="false"/>
          <w:smallCaps w:val="false"/>
          <w:sz w:val="20"/>
        </w:rPr>
        <w:t>Item 2.01 Completion of Acquisition or Disposition of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On April 1, 2026, Bimini Advisors Holdings, LLC (the “Buyer”), an indirect wholly owned subsidiary of Bimini Capital Management, Inc. (the “Company”), completed the acquisition of eighty percent (80%) of the fully diluted equity interests of Tom Johnson Investment Management, LLC (“TJIM”), a registered investment adviser (the “Transaction”), pursuant to the Membership Interest Purchase Agreement, dated January 13, 2026 (the “Agreement”), by and among the Buyer, Richard Parry, as Trustee of the Richard Parry Living Trust dated February 27, 1997 (“Richard's Trust”), Gayle Parry, as Trustee of the Gayle Parry Living Trust dated February 27, 1997, Richard H. Parry (“Richard”), and Gayle Parry (collectively, the “Seller Parties”). The Company previously announced the execution of the Agreement in its Current Report on Form 8-K filed with the Securities and Exchange Commission (the “SEC”) on January 14,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Following the closing of the Transaction (the “Closing”), Richard’s Trust retained a twenty percent (20%) equity interest in TJIM (the “Retained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The purchase price paid in the Transaction equaled 2.5 times 80% of TJIM’s revenue for the fiscal year ended December 31, 2025, or $12,318,492 (the “Purchase Price”). $12,000,000 of the Purchase Price was paid in cash at Closing, including $1,539,811.50 of such funds paid in escrow for the potential satisfaction of post-Closing indemnification claims. The remaining $318,492 of the Purchase Price is payable on the first anniversary of the Closing, plus interest at the rate of five percent (5%) per annum, compounded annually, subject to potential post-Closing adjustments in accordance with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Subject to certain conditions, Richard's Trust has the right to require the Buyer to purchase the entire Retained Interest upon the later to occur of (a) the third anniversary of the Closing and (b) Richard ceasing to be an employee of TJIM, at a price to be determined using the formula used to determine the Purchase Price, subject to TJIM reporting an EBITDA margin of at least 30.0% for the trailing twelve-month period preceding the occurrence of the later of the events set forth in clauses (a) and (b). Such put right is exercisable for up to 90 days following the day on which it becomes exercisable and is further conditioned on the Seller Parties' compliance with certain restrictive covenants set forth in the Agreement and in the post-Closing operating agreement of TJIM. In addition, beginning on the third anniversary of the Closing, the Buyer has the right to require Richard's Trust to sell the entire Retained Interest to the Buyer at a price determined by the same formula. Following the Closing, Richard’s Trust is subject to additional provisions regarding its ownership of the Retained Interest, including transfer restrictions and drag-along and tag-along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In connection with the Closing, Richard entered into a new three-year employment agreement with TJIM, and other members of TJIM’s current management entered into new employment agreements with TJIM.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The foregoing description of the Transaction and the Agreement does not purport to be complete and is subject to, and qualified in its entirety by, the full text of the Agreement, which is Exhibit 2.1 to this Current Report on Form 8-K (this “Report”) and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The Agreement and this summary of its terms are included to provide information regarding the terms of the Agreement and the Transaction and are not intended to provide any other factual information about the Company. Factual disclosures about the Company contained in its public reports filed with the SEC, which are available without charge at www.sec.gov, may supplement, update, or modify the factual disclosures about the Company contained in the Agreement. The representations and warranties made by the Company and the Buyer in the Agreement were negotiated with the principal purpose of allocating risk between the parties to the Agreement, rather than establishing matters as facts. In addition, such representations and warranties also may be subject to a contractual standard of materiality different from that generally applicable to stockholders and reports and documents filed with the SEC or other regulatory bodies, and some were qualified by the matters contained in the schedules delivered or to be delivered in connection with the Agreement. Accordingly, the representations and warranties in the Agreement should not be relied on by any person as characterizations of the actual state of facts about the Company or the Buyer at the time they were made or otherwise and should be read only in conjunction with the other information provided elsewhere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160" w:right="0" w:hanging="0"/>
        <w:jc w:val="both"/>
        <w:rPr>
          <w:rFonts w:ascii="Times New Roman" w:hAnsi="Times New Roman"/>
          <w:b/>
          <w:caps w:val="false"/>
          <w:smallCaps w:val="false"/>
          <w:sz w:val="20"/>
        </w:rPr>
      </w:pPr>
      <w:r>
        <w:rPr>
          <w:rFonts w:ascii="Times New Roman" w:hAnsi="Times New Roman"/>
          <w:b/>
          <w:caps w:val="false"/>
          <w:smallCaps w:val="false"/>
          <w:sz w:val="20"/>
        </w:rPr>
        <w:t>Item 7.01 Regulation FD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On April 1, 2026, the Company issued a press release announcing the Closing, the full text of which is furnished herewith as Exhibit 99.1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The information contained in Item 7.01 of this Report, including Exhibit 99.1, is being furnished and shall not be deemed “filed” for purposes of Section 18 of the Securities Exchange Act of 1934, as amended (the “Exchange Act”), or otherwise subject to the liabilities of that section, nor shall it be deemed incorporated by reference in any filing by the Company under the Securities Act of 1933, as amended, or the Exchange Act, except as shall be expressly set forth by specific reference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b/>
          <w:caps w:val="false"/>
          <w:smallCaps w:val="false"/>
          <w:sz w:val="20"/>
        </w:rPr>
        <w:t>Item 9.01</w:t>
      </w:r>
      <w:r>
        <w:rPr>
          <w:rFonts w:ascii="Times New Roman" w:hAnsi="Times New Roman"/>
          <w:caps w:val="false"/>
          <w:smallCaps w:val="false"/>
          <w:sz w:val="20"/>
        </w:rPr>
        <w:t xml:space="preserve"> </w:t>
      </w:r>
      <w:r>
        <w:rPr>
          <w:rFonts w:ascii="Times New Roman" w:hAnsi="Times New Roman"/>
          <w:b/>
          <w:caps w:val="false"/>
          <w:smallCaps w:val="false"/>
          <w:sz w:val="20"/>
        </w:rPr>
        <w:t>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(a) Financial Statements of Business Acquired.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The financial statements required by Item 9.01(a) of Form 8-K with respect to the Transaction will be filed by amendment to this Report no later than 71 calendar days after the date this Report is required to be filed.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(b) Pro Forma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The pro forma financial information required by Item 9.01(b) of Form 8-K with respect to the Transaction will be filed by amendment to this Report no later than 71 calendar days after the date this Report is required to be filed.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78"/>
        <w:gridCol w:w="9127"/>
      </w:tblGrid>
      <w:tr>
        <w:trPr/>
        <w:tc>
          <w:tcPr>
            <w:tcW w:w="1078" w:type="dxa"/>
            <w:tcBorders/>
            <w:vAlign w:val="center"/>
          </w:tcPr>
          <w:p>
            <w:pPr>
              <w:pStyle w:val="TableContents"/>
              <w:bidi w:val="0"/>
              <w:spacing w:before="0" w:after="0"/>
              <w:ind w:left="360" w:right="0" w:hanging="0"/>
              <w:jc w:val="left"/>
              <w:rPr>
                <w:rFonts w:ascii="Times New Roman" w:hAnsi="Times New Roman"/>
                <w:b/>
                <w:caps w:val="false"/>
                <w:smallCaps w:val="false"/>
                <w:sz w:val="20"/>
              </w:rPr>
            </w:pPr>
            <w:r>
              <w:rPr>
                <w:rFonts w:ascii="Times New Roman" w:hAnsi="Times New Roman"/>
                <w:b/>
                <w:caps w:val="false"/>
                <w:smallCaps w:val="false"/>
                <w:sz w:val="20"/>
              </w:rPr>
              <w:t>Exhibit Number</w:t>
            </w:r>
          </w:p>
        </w:tc>
        <w:tc>
          <w:tcPr>
            <w:tcW w:w="9127" w:type="dxa"/>
            <w:tcBorders/>
            <w:vAlign w:val="center"/>
          </w:tcPr>
          <w:p>
            <w:pPr>
              <w:pStyle w:val="TableContents"/>
              <w:bidi w:val="0"/>
              <w:spacing w:before="0" w:after="0"/>
              <w:ind w:left="360" w:right="0" w:hanging="0"/>
              <w:jc w:val="left"/>
              <w:rPr>
                <w:rFonts w:ascii="Times New Roman" w:hAnsi="Times New Roman"/>
                <w:b/>
                <w:caps w:val="false"/>
                <w:smallCaps w:val="false"/>
                <w:sz w:val="20"/>
              </w:rPr>
            </w:pPr>
            <w:r>
              <w:rPr>
                <w:rFonts w:ascii="Times New Roman" w:hAnsi="Times New Roman"/>
                <w:b/>
                <w:caps w:val="false"/>
                <w:smallCaps w:val="false"/>
                <w:sz w:val="20"/>
              </w:rPr>
              <w:t>Description</w:t>
            </w:r>
          </w:p>
        </w:tc>
      </w:tr>
      <w:tr>
        <w:trPr/>
        <w:tc>
          <w:tcPr>
            <w:tcW w:w="1078" w:type="dxa"/>
            <w:tcBorders/>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2.1</w:t>
            </w:r>
          </w:p>
        </w:tc>
        <w:tc>
          <w:tcPr>
            <w:tcW w:w="9127" w:type="dxa"/>
            <w:tcBorders/>
            <w:vAlign w:val="center"/>
          </w:tcPr>
          <w:p>
            <w:pPr>
              <w:pStyle w:val="TableContents"/>
              <w:bidi w:val="0"/>
              <w:spacing w:before="0" w:after="0"/>
              <w:ind w:left="360" w:right="0" w:hanging="0"/>
              <w:jc w:val="left"/>
              <w:rPr/>
            </w:pPr>
            <w:hyperlink r:id="rId2">
              <w:r>
                <w:rPr>
                  <w:rStyle w:val="InternetLink"/>
                  <w:rFonts w:ascii="Times New Roman" w:hAnsi="Times New Roman"/>
                  <w:caps w:val="false"/>
                  <w:smallCaps w:val="false"/>
                  <w:sz w:val="20"/>
                </w:rPr>
                <w:t>Membership Interest Purchase Agreement, dated January 13, 2026, incorporated by reference to Exhibit 10.1 to the Company's Current Report on Form 8-K filed with the SEC on January 14, 2026.</w:t>
              </w:r>
            </w:hyperlink>
          </w:p>
        </w:tc>
      </w:tr>
      <w:tr>
        <w:trPr/>
        <w:tc>
          <w:tcPr>
            <w:tcW w:w="1078" w:type="dxa"/>
            <w:tcBorders/>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99.1</w:t>
            </w:r>
          </w:p>
        </w:tc>
        <w:tc>
          <w:tcPr>
            <w:tcW w:w="9127" w:type="dxa"/>
            <w:tcBorders/>
            <w:vAlign w:val="center"/>
          </w:tcPr>
          <w:p>
            <w:pPr>
              <w:pStyle w:val="TableContents"/>
              <w:bidi w:val="0"/>
              <w:spacing w:before="0" w:after="0"/>
              <w:ind w:left="360" w:right="0" w:hanging="0"/>
              <w:jc w:val="left"/>
              <w:rPr/>
            </w:pPr>
            <w:hyperlink w:anchor="ex_941029.htm">
              <w:r>
                <w:rPr>
                  <w:rStyle w:val="InternetLink"/>
                  <w:rFonts w:ascii="Times New Roman" w:hAnsi="Times New Roman"/>
                  <w:caps w:val="false"/>
                  <w:smallCaps w:val="false"/>
                  <w:sz w:val="20"/>
                </w:rPr>
                <w:t>Press release, dated April 1, 2026</w:t>
              </w:r>
            </w:hyperlink>
          </w:p>
        </w:tc>
      </w:tr>
      <w:tr>
        <w:trPr/>
        <w:tc>
          <w:tcPr>
            <w:tcW w:w="1078" w:type="dxa"/>
            <w:tcBorders/>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9127" w:type="dxa"/>
            <w:tcBorders/>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(the cover page XBRL tags are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225" w:type="dxa"/>
        <w:jc w:val="left"/>
        <w:tblInd w:w="0" w:type="dxa"/>
        <w:tblLayout w:type="fixed"/>
        <w:tblCellMar>
          <w:top w:w="0" w:type="dxa"/>
          <w:left w:w="0" w:type="dxa"/>
          <w:bottom w:w="0" w:type="dxa"/>
          <w:right w:w="0" w:type="dxa"/>
        </w:tblCellMar>
      </w:tblPr>
      <w:tblGrid>
        <w:gridCol w:w="1580"/>
        <w:gridCol w:w="320"/>
        <w:gridCol w:w="4325"/>
      </w:tblGrid>
      <w:tr>
        <w:trPr/>
        <w:tc>
          <w:tcPr>
            <w:tcW w:w="15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April 2, 2026</w:t>
            </w:r>
          </w:p>
        </w:tc>
        <w:tc>
          <w:tcPr>
            <w:tcW w:w="32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4325" w:type="dxa"/>
            <w:tcBorders/>
            <w:vAlign w:val="center"/>
          </w:tcPr>
          <w:p>
            <w:pPr>
              <w:pStyle w:val="TableContents"/>
              <w:bidi w:val="0"/>
              <w:spacing w:before="0" w:after="283"/>
              <w:jc w:val="left"/>
              <w:rPr/>
            </w:pPr>
            <w:r>
              <w:rPr/>
              <w:t>BIMINI CAPITAL MANAGEMENT, INC.</w:t>
            </w:r>
          </w:p>
        </w:tc>
      </w:tr>
      <w:tr>
        <w:trPr/>
        <w:tc>
          <w:tcPr>
            <w:tcW w:w="1580" w:type="dxa"/>
            <w:tcBorders/>
            <w:vAlign w:val="center"/>
          </w:tcPr>
          <w:p>
            <w:pPr>
              <w:pStyle w:val="TableContents"/>
              <w:bidi w:val="0"/>
              <w:spacing w:before="0" w:after="283"/>
              <w:jc w:val="left"/>
              <w:rPr/>
            </w:pPr>
            <w:r>
              <w:rPr/>
              <w:t> </w:t>
            </w:r>
          </w:p>
        </w:tc>
        <w:tc>
          <w:tcPr>
            <w:tcW w:w="4645" w:type="dxa"/>
            <w:gridSpan w:val="2"/>
            <w:tcBorders/>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283"/>
              <w:jc w:val="left"/>
              <w:rPr/>
            </w:pPr>
            <w:r>
              <w:rPr/>
              <w:t> </w:t>
            </w:r>
          </w:p>
        </w:tc>
        <w:tc>
          <w:tcPr>
            <w:tcW w:w="4645" w:type="dxa"/>
            <w:gridSpan w:val="2"/>
            <w:tcBorders/>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432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Robert E. Cauley</w:t>
            </w:r>
          </w:p>
        </w:tc>
      </w:tr>
      <w:tr>
        <w:trPr/>
        <w:tc>
          <w:tcPr>
            <w:tcW w:w="15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Robert E. Cauley</w:t>
            </w:r>
          </w:p>
        </w:tc>
      </w:tr>
      <w:tr>
        <w:trPr/>
        <w:tc>
          <w:tcPr>
            <w:tcW w:w="15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Chairman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2" w:name="ex_941029.htm"/>
      <w:bookmarkStart w:id="3" w:name="ksex_941029"/>
      <w:bookmarkEnd w:id="2"/>
      <w:bookmarkEnd w:id="3"/>
      <w:r>
        <w:rPr>
          <w:rFonts w:ascii="Times New Roman;Times;serif" w:hAnsi="Times New Roman;Times;serif"/>
          <w:b/>
          <w:sz w:val="20"/>
        </w:rPr>
        <w:t>Exhibit 99.1</w:t>
      </w:r>
      <w:r>
        <w:br w:type="page"/>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057400" cy="504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3"/>
                    <a:stretch>
                      <a:fillRect/>
                    </a:stretch>
                  </pic:blipFill>
                  <pic:spPr bwMode="auto">
                    <a:xfrm>
                      <a:off x="0" y="0"/>
                      <a:ext cx="2057400" cy="504825"/>
                    </a:xfrm>
                    <a:prstGeom prst="rect">
                      <a:avLst/>
                    </a:prstGeom>
                  </pic:spPr>
                </pic:pic>
              </a:graphicData>
            </a:graphic>
          </wp:inline>
        </w:drawing>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BIMINI CAPITAL MANAGEMENT ANNOUNCES CLOSING OF ACQUISITION OF TOM JOHNSON INVESTMENT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VERO BEACH, Fla. (April 1, 2026) – Bimini Capital Management, Inc. (OTCQX:BMNM) ("Bimini” or the “Company”) today announced that its wholly owned subsidiary, Bimini Advisors Holdings, LLC,  has completed the purchase of eighty percent (80%) of the fully diluted equity interests of Tom Johnson Investment Management, LLC (“TJIM”), a privately held registered investment adviser.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The purchase price paid in the transaction was $12,318,492, of which $12 million was paid in cash at the closing, with the balance to be paid on or before the first anniversary of the closing.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In addition, subject to certain conditions, (1) Bimini may be required to purchase the remaining 20% of TJIM’s equity interests upon the later to occur of (a) the third anniversary of the closing and (b) the principal seller ceasing to be an employee of TJIM or (2) Bimini will have the option to acquire the remaining 20% interest following the third anniversary of the closing, in either case at a purchase price to be determined.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Effective as of the closing, the principal seller entered into a new three-year employment agreement with TJIM and all existing staff of TJIM entered into employment agreements or executed offers of employment. It is expected that certain members of TJIM’s current staff will be offered the opportunity to become equity owners in TJIM, to support retention and alignment with TJIM’s objectives.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Commenting on the completion of the transaction, Robert E. Cauley, Chairman and Chief Executive Officer of Bimini, said, “We are excited to complete this transaction and further position Bimini as a pure asset management firm. TJIM currently has approximately $1.63 billion of assets under management across both the equity and fixed income markets. Their management agreements are diverse, covering individual accounts, sub-advisory agreements and wrap programs. Further, this transaction will provide TJIM with: (i) access to Bimini’s experienced public company management, governance, and infrastructure; (ii) Bimini’s capital markets expertise and access (including Bimini’s banking relationships with major banks across Wall Street); and (iii) the potential to raise assets under management in public markets. TJIM will also receive increased name recognition from its affiliation with Bimini, the external manager of Orchid Island Capital, Inc., a New York Stock Exchange-listed public real estate investment trust ("Orchid Island"). Further, the management of the respective assets of TJIM and Bimini will remain under their current management teams, and we do not anticipate comingling of the asset management responsibilities.”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Richard H. Parry, President and Chief Investment Officer of TJIM added, “This strategic step will facilitate staff retention and provide our staff with ongoing incentives for both growth and sustaining the high level of services to our clients over the long term. I personally look forward to working with Bob and the rest of the Bimini team in the years to come to address this ever-changing investment service arena.”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Westmere Management LLC acted as exclusive financial advisor to Bimini in connection with this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b/>
          <w:caps w:val="false"/>
          <w:smallCaps w:val="false"/>
          <w:sz w:val="20"/>
        </w:rPr>
      </w:pPr>
      <w:r>
        <w:rPr>
          <w:rFonts w:ascii="Times New Roman" w:hAnsi="Times New Roman"/>
          <w:b/>
          <w:caps w:val="false"/>
          <w:smallCaps w:val="false"/>
          <w:sz w:val="20"/>
        </w:rPr>
        <w:t>About Bimini Capital Management,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Bimini Capital Management, Inc. is an asset manager specializing in residential mortgage-related securities issued by the Federal National Mortgage Association (Fannie Mae), the Federal Home Loan Mortgage Corporation (Freddie Mac) and the Government National Mortgage Association (Ginnie Mae) while employing leverage and various hedging strategies.</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Through our wholly owned subsidiary, Bimini Advisors, LLC ("Bimini Advisors"), we serve as the external manager of Orchid Island. Bimini Capital Management, Inc. and its subsidiaries are headquartered in Vero Beach, Florida.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b/>
          <w:caps w:val="false"/>
          <w:smallCaps w:val="false"/>
          <w:sz w:val="20"/>
        </w:rPr>
      </w:pPr>
      <w:r>
        <w:rPr>
          <w:rFonts w:ascii="Times New Roman" w:hAnsi="Times New Roman"/>
          <w:b/>
          <w:caps w:val="false"/>
          <w:smallCaps w:val="false"/>
          <w:sz w:val="20"/>
        </w:rPr>
        <w:t>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Statements herein relating to matters that are not historical facts are forward-looking statements, as defined in the Private Securities Litigation Reform Act of 1995. The reader is cautioned that such forward-looking statements are based on information available at the time and on management's good faith belief with respect to future events, and are subject to risks and uncertainties that could cause actual performance or results to differ materially from those expressed in such forward-looking statements. Important factors that could cause such differences are described in Bimini Capital Management, Inc.'s filings with the Securities and Exchange Commission, including Bimini Capital Management, Inc.'s most recent Annual Report on Form 10-K. Bimini Capital Management, Inc. assumes no obligation to update forward-looking statements to reflect subsequent results, changes in assumptions or changes in other factors affecting forward-looking statements, except as may be required by law.</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CONTACT:</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Bimini Capital Management, Inc.</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Robert E. Cauley, 772-231-1400</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Chairman and Chief Executive Officer</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https://ir.biminicapital.com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275477/000143774926001227/ex_907197.htm" TargetMode="External"/><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2097</Words>
  <Characters>11616</Characters>
  <CharactersWithSpaces>13719</CharactersWithSpaces>
  <Paragraphs>168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