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cmi20260910_8k.htm"/>
      <w:bookmarkStart w:id="1" w:name="ksbcmi20260910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Bimini Capital Management, Inc.</w:t>
            </w:r>
          </w:p>
        </w:tc>
      </w:tr>
      <w:tr>
        <w:trPr/>
        <w:tc>
          <w:tcPr>
            <w:tcW w:w="4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001-32171</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72-1571637</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5.02.</w:t>
      </w:r>
      <w:r>
        <w:rPr>
          <w:rFonts w:ascii="Times New Roman" w:hAnsi="Times New Roman"/>
          <w:caps w:val="false"/>
          <w:smallCaps w:val="false"/>
          <w:sz w:val="20"/>
        </w:rPr>
        <w:t>   </w:t>
      </w:r>
      <w:r>
        <w:rPr>
          <w:rFonts w:ascii="Times New Roman" w:hAnsi="Times New Roman"/>
          <w:b/>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14, 2026, Richard H. Parry was appointed as a Class II director of the Company with a term expiring at the annual meeting of stockholders in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Parry, 68, is currently the President and Chief Investment Officer of Tom Johnson Investment Management, LLC (“TJIM”), an 80%-owned subsidiary of the Company. He has held this position since 2003. He began his investment career in 1981, working with other TJIM principals in the Trust Investments department of First National Bank and Trust Company, which later became First Investment Management Corporation, a subsidiary of First Interstate Bank of Oklahoma City. He received his Bachelor of Science Degree in Business from the University of Colorado with an emphasis in international business and his MBA from Oklahoma City University. He is a CFA® charterholder, past adjunct Professor for Oklahoma City University, and past President of the Oklahoma Society of Financial Analysts. Currently, he serves on the Board of Directors of the Oklahoma Medical Research Foundation and was previously a board member of Oklahoma City University, Dean McGee Eye Institute Foundation, Economic Club of Oklahoma, and Rotary Club 29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no arrangements or understandings between Mr. Parry and any other persons pursuant to which Mr. Parry was appointed to the Board. Mr. Parry has a direct material interest in the Company’s April 1, 2026 acquisition of eighty percent (80%) of the fully diluted equity interests of TJIM (the “TJIM Acquisition”), for a purchase price of $12,318,492, from trusts affiliated with Mr. Parry and his wife. A trust affiliated with Mr. Parry retains an equity interest in TJIM. Mr. Parry entered into an employment agreement with TJIM in connection with the TJIM Acquisition. Additional information regarding the TJIM Acquisition can be found in the Company’s Current Report on Form 8-K/A filed with the Securities and Exchange Commission on April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Nicholas J. Pointer, the son-in-law of Mr. Parry, is employed as Vice President, Portfolio Manager and Trader of TJIM. Mr. Pointer’s aggregate annual compensation from TJIM exceeds $120,000. Mr. Pointer’s compensation is determined in the ordinary course consistent with standard practices for similarly situated employees. Other than as described in this Current Report on Form 8-K, there are no transactions since the beginning of the Company’s last fiscal year, or currently proposed transactions, in which the Company was or is to be a participant and in which Mr. Parry had or will have a direct or indirect material interest that are required to be disclosed pursuant to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an employee of the Company, Mr. Parry will not be separately compensated for his service as director; however, he may be reimbursed for out-of-pocket expenses incurred in attending conferences or educational seminars that relate to his Board service, consistent with the Company’s practice. Mr. Parry is not expected to serve on a committee of the Board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14, 2026, the Company issued the press release attached hereto as Exhibit 99.1 announcing Mr. Parry’s appointment. Exhibit 99.1 shall not be deemed “filed” for purposes of Section 18 of the Securities Exchange Act of 1934, or deemed incorporated by reference in any disclosure document of the Company, except as shall be expressly set forth by specific reference in such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hyperlink w:anchor="ex_1014873.htm">
        <w:r>
          <w:rPr>
            <w:rStyle w:val="InternetLink"/>
            <w:rFonts w:ascii="Times New Roman" w:hAnsi="Times New Roman"/>
            <w:caps w:val="false"/>
            <w:smallCaps w:val="false"/>
            <w:sz w:val="20"/>
          </w:rPr>
          <w:t>Exhibit 99.1 ― Press Release dated September 14, 2026</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104 – 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2120"/>
        <w:gridCol w:w="320"/>
        <w:gridCol w:w="4325"/>
      </w:tblGrid>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14,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pPr>
            <w:r>
              <w:rPr/>
              <w:t>BIMINI CAPITAL MANAGEMENT, INC.</w:t>
            </w:r>
          </w:p>
        </w:tc>
      </w:tr>
      <w:tr>
        <w:trPr/>
        <w:tc>
          <w:tcPr>
            <w:tcW w:w="2120"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3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1014873.htm"/>
      <w:bookmarkStart w:id="3" w:name="ksex_1014873"/>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574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RICHARD PARRY JOINS BOARD OF DIRECTORS OF BIMINI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VERO BEACH, Fla., (September 14, 2026) – Bimini Capital Management, Inc. (OTCQX: BMNM), (“Bimini Capital,” “Bimini,” or the “Company”), today announced that Richard Parry has joined the board of directors as a Class II director with his term expiring in 2029.  Mr. Parry is currently the President and Chief Investment Officer of Tom Johnson Investment Management, LLC (“TJIM”), an 80%-owned subsidiary of the Company acquired earlier this year. A trust affiliated with Mr. Parry retains an equity interest in TJIM. Mr. Parry entered into an employment agreement with TJIM in connection with the TJIM Acquisition.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Commenting on the appointment, Robert E. Cauley, Chairman and Chief Executive Officer of the Company, stated “We are very happy that Richard has joined our board.  TJIM was a very important acquisition for the Company, and his presence on the board demonstrates our commitment to growing and diversifying our asset management endeavors.”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As an employee of the Company, Mr. Parry will not be separately compensated for his service as director; however, he may be reimbursed for out-of-pocket expenses incurred in attending conferences or educational seminars that relate to his Board service, consistent with the Company’s practice. Mr. Parry is not expected to serve on a committee of the Board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Statements herein relating to matters that are not historical facts are forward-looking statements, as defined in the Private Securities Litigation Reform Act of 1995. The reader is cautioned that such forward-looking statements are based on information available at the time and on management's good faith belief with respect to future events, and are subject to risks and uncertainties that could cause actual performance or results to differ materially from those expressed in such forward-looking statements. Important factors that could cause such differences are described in Bimini Capital Management, Inc.'s filings with the Securities and Exchange Commission, including Bimini Capital Management, Inc.'s most recent Annual Report on Form 10-K and Quarterly Reports on Form 10-Q. Bimini Capital Management, Inc. assumes no obligation to update forward-looking statements to reflect subsequent results, changes in assumptions or changes in other factors affecting forward-looking statements, except as may be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CONTACT:</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Bimini Capital Management, Inc.</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Robert E. Cauley, 772-231-1400</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Chairman and Chief Executive Officer</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https://ir.biminicapital.com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1310</Words>
  <Characters>7255</Characters>
  <CharactersWithSpaces>8589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