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4435" cy="9830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ind w:left="1440"/>
        <w:spacing w:after="0" w:line="804" w:lineRule="exact"/>
        <w:rPr>
          <w:sz w:val="20"/>
          <w:szCs w:val="20"/>
          <w:color w:val="auto"/>
        </w:rPr>
      </w:pPr>
      <w:r>
        <w:rPr>
          <w:rFonts w:ascii="Arial Unicode MS" w:cs="Arial Unicode MS" w:eastAsia="Arial Unicode MS" w:hAnsi="Arial Unicode MS"/>
          <w:sz w:val="60"/>
          <w:szCs w:val="60"/>
          <w:color w:val="FFFFFF"/>
        </w:rPr>
        <w:t>ϮϬϮ</w:t>
      </w:r>
      <w:r>
        <w:rPr>
          <w:rFonts w:ascii="Calibri" w:cs="Calibri" w:eastAsia="Calibri" w:hAnsi="Calibri"/>
          <w:sz w:val="60"/>
          <w:szCs w:val="60"/>
          <w:color w:val="FFFFFF"/>
        </w:rPr>
        <w:t>ϱ</w:t>
      </w:r>
      <w:r>
        <w:rPr>
          <w:rFonts w:ascii="PMingLiU" w:cs="PMingLiU" w:eastAsia="PMingLiU" w:hAnsi="PMingLiU"/>
          <w:sz w:val="60"/>
          <w:szCs w:val="60"/>
          <w:color w:val="FFFFFF"/>
        </w:rPr>
        <w:t>EEh&gt;ZWKZd</w:t>
      </w:r>
    </w:p>
    <w:p>
      <w:pPr>
        <w:sectPr>
          <w:pgSz w:w="12240" w:h="15840" w:orient="portrait"/>
          <w:cols w:equalWidth="0" w:num="1">
            <w:col w:w="9360"/>
          </w:cols>
          <w:pgMar w:left="1440" w:top="1440" w:right="1440" w:bottom="1440" w:gutter="0" w:footer="0" w:header="0"/>
        </w:sectPr>
      </w:pPr>
    </w:p>
    <w:bookmarkStart w:id="1" w:name="page2"/>
    <w:bookmarkEnd w:id="1"/>
    <w:p>
      <w:pPr>
        <w:spacing w:after="0" w:line="804" w:lineRule="exact"/>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36"/>
          <w:szCs w:val="36"/>
          <w:b w:val="1"/>
          <w:bCs w:val="1"/>
          <w:color w:val="auto"/>
        </w:rPr>
        <mc:AlternateContent>
          <mc:Choice Requires="wps">
            <w:drawing>
              <wp:anchor simplePos="0" relativeHeight="251657728" behindDoc="1" locked="0" layoutInCell="0" allowOverlap="1">
                <wp:simplePos x="0" y="0"/>
                <wp:positionH relativeFrom="page">
                  <wp:posOffset>457200</wp:posOffset>
                </wp:positionH>
                <wp:positionV relativeFrom="page">
                  <wp:posOffset>825500</wp:posOffset>
                </wp:positionV>
                <wp:extent cx="68580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016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65pt" to="576pt,65pt" o:allowincell="f" strokecolor="#000000" strokeweight="0.8pt">
                <w10:wrap anchorx="page" anchory="page"/>
              </v:line>
            </w:pict>
          </mc:Fallback>
        </mc:AlternateContent>
        <w:t>UNITED STATES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2571750</wp:posOffset>
                </wp:positionH>
                <wp:positionV relativeFrom="paragraph">
                  <wp:posOffset>170815</wp:posOffset>
                </wp:positionV>
                <wp:extent cx="17145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5pt,13.45pt" to="337.5pt,13.45pt" o:allowincell="f" strokecolor="#000000" strokeweight="0.75pt"/>
            </w:pict>
          </mc:Fallback>
        </mc:AlternateConten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277" w:lineRule="exact"/>
        <w:rPr>
          <w:sz w:val="20"/>
          <w:szCs w:val="20"/>
          <w:color w:val="auto"/>
        </w:rPr>
      </w:pPr>
    </w:p>
    <w:p>
      <w:pPr>
        <w:jc w:val="center"/>
        <w:ind w:left="3520" w:right="400" w:hanging="3120"/>
        <w:spacing w:after="0" w:line="419" w:lineRule="auto"/>
        <w:tabs>
          <w:tab w:leader="none" w:pos="632" w:val="left"/>
        </w:tabs>
        <w:numPr>
          <w:ilvl w:val="1"/>
          <w:numId w:val="1"/>
        </w:numPr>
        <w:rPr>
          <w:rFonts w:ascii="Segoe UI" w:cs="Segoe UI" w:eastAsia="Segoe UI" w:hAnsi="Segoe UI"/>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 For the fiscal year ended December 31, 2025</w:t>
      </w:r>
    </w:p>
    <w:p>
      <w:pPr>
        <w:spacing w:after="0" w:line="90" w:lineRule="exact"/>
        <w:rPr>
          <w:rFonts w:ascii="Segoe UI" w:cs="Segoe UI" w:eastAsia="Segoe UI" w:hAnsi="Segoe UI"/>
          <w:sz w:val="20"/>
          <w:szCs w:val="20"/>
          <w:color w:val="auto"/>
        </w:rPr>
      </w:pPr>
    </w:p>
    <w:p>
      <w:pPr>
        <w:jc w:val="center"/>
        <w:ind w:left="3740" w:right="200" w:hanging="3546"/>
        <w:spacing w:after="0" w:line="448" w:lineRule="auto"/>
        <w:tabs>
          <w:tab w:leader="none" w:pos="409" w:val="left"/>
        </w:tabs>
        <w:numPr>
          <w:ilvl w:val="0"/>
          <w:numId w:val="1"/>
        </w:numPr>
        <w:rPr>
          <w:rFonts w:ascii="Segoe UI" w:cs="Segoe UI" w:eastAsia="Segoe UI" w:hAnsi="Segoe UI"/>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 For the transition period from __ to __</w:t>
      </w:r>
    </w:p>
    <w:p>
      <w:pPr>
        <w:ind w:left="3880"/>
        <w:spacing w:after="0"/>
        <w:rPr>
          <w:rFonts w:ascii="Segoe UI" w:cs="Segoe UI" w:eastAsia="Segoe UI" w:hAnsi="Segoe UI"/>
          <w:sz w:val="20"/>
          <w:szCs w:val="20"/>
          <w:color w:val="auto"/>
        </w:rPr>
      </w:pPr>
      <w:r>
        <w:rPr>
          <w:rFonts w:ascii="Times New Roman" w:cs="Times New Roman" w:eastAsia="Times New Roman" w:hAnsi="Times New Roman"/>
          <w:sz w:val="20"/>
          <w:szCs w:val="20"/>
          <w:color w:val="auto"/>
        </w:rPr>
        <w:t>Commission File Number</w:t>
      </w:r>
      <w:r>
        <w:rPr>
          <w:rFonts w:ascii="Times New Roman" w:cs="Times New Roman" w:eastAsia="Times New Roman" w:hAnsi="Times New Roman"/>
          <w:sz w:val="20"/>
          <w:szCs w:val="20"/>
          <w:b w:val="1"/>
          <w:bCs w:val="1"/>
          <w:color w:val="auto"/>
        </w:rPr>
        <w:t>: 001-32171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2400300</wp:posOffset>
            </wp:positionH>
            <wp:positionV relativeFrom="paragraph">
              <wp:posOffset>164465</wp:posOffset>
            </wp:positionV>
            <wp:extent cx="2047875" cy="504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extLst>
                    </a:blip>
                    <a:srcRect/>
                    <a:stretch>
                      <a:fillRect/>
                    </a:stretch>
                  </pic:blipFill>
                  <pic:spPr bwMode="auto">
                    <a:xfrm>
                      <a:off x="0" y="0"/>
                      <a:ext cx="2047875" cy="504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Bimini Capital Management, Inc.</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10" w:lineRule="exact"/>
        <w:rPr>
          <w:sz w:val="20"/>
          <w:szCs w:val="20"/>
          <w:color w:val="auto"/>
        </w:rPr>
      </w:pPr>
    </w:p>
    <w:tbl>
      <w:tblPr>
        <w:tblLayout w:type="fixed"/>
        <w:tblInd w:w="2120" w:type="dxa"/>
        <w:tblCellMar>
          <w:top w:w="0" w:type="dxa"/>
          <w:left w:w="0" w:type="dxa"/>
          <w:bottom w:w="0" w:type="dxa"/>
          <w:right w:w="0" w:type="dxa"/>
        </w:tblCellMar>
      </w:tblPr>
      <w:tr>
        <w:trPr>
          <w:trHeight w:val="244"/>
        </w:trPr>
        <w:tc>
          <w:tcPr>
            <w:tcW w:w="3560" w:type="dxa"/>
            <w:vAlign w:val="bottom"/>
          </w:tcPr>
          <w:p>
            <w:pPr>
              <w:jc w:val="center"/>
              <w:ind w:right="1040"/>
              <w:spacing w:after="0"/>
              <w:rPr>
                <w:sz w:val="20"/>
                <w:szCs w:val="20"/>
                <w:color w:val="auto"/>
              </w:rPr>
            </w:pPr>
            <w:r>
              <w:rPr>
                <w:rFonts w:ascii="Times New Roman" w:cs="Times New Roman" w:eastAsia="Times New Roman" w:hAnsi="Times New Roman"/>
                <w:sz w:val="20"/>
                <w:szCs w:val="20"/>
                <w:b w:val="1"/>
                <w:bCs w:val="1"/>
                <w:color w:val="auto"/>
              </w:rPr>
              <w:t>Maryland</w:t>
            </w:r>
          </w:p>
        </w:tc>
        <w:tc>
          <w:tcPr>
            <w:tcW w:w="2620" w:type="dxa"/>
            <w:vAlign w:val="bottom"/>
          </w:tcPr>
          <w:p>
            <w:pPr>
              <w:jc w:val="center"/>
              <w:ind w:left="1020"/>
              <w:spacing w:after="0"/>
              <w:rPr>
                <w:sz w:val="20"/>
                <w:szCs w:val="20"/>
                <w:color w:val="auto"/>
              </w:rPr>
            </w:pPr>
            <w:r>
              <w:rPr>
                <w:rFonts w:ascii="Times New Roman" w:cs="Times New Roman" w:eastAsia="Times New Roman" w:hAnsi="Times New Roman"/>
                <w:sz w:val="20"/>
                <w:szCs w:val="20"/>
                <w:b w:val="1"/>
                <w:bCs w:val="1"/>
                <w:color w:val="auto"/>
              </w:rPr>
              <w:t>72-1571637</w:t>
            </w:r>
          </w:p>
        </w:tc>
      </w:tr>
      <w:tr>
        <w:trPr>
          <w:trHeight w:val="229"/>
        </w:trPr>
        <w:tc>
          <w:tcPr>
            <w:tcW w:w="3560" w:type="dxa"/>
            <w:vAlign w:val="bottom"/>
          </w:tcPr>
          <w:p>
            <w:pPr>
              <w:jc w:val="center"/>
              <w:ind w:right="1020"/>
              <w:spacing w:after="0"/>
              <w:rPr>
                <w:sz w:val="20"/>
                <w:szCs w:val="20"/>
                <w:color w:val="auto"/>
              </w:rPr>
            </w:pPr>
            <w:r>
              <w:rPr>
                <w:rFonts w:ascii="Times New Roman" w:cs="Times New Roman" w:eastAsia="Times New Roman" w:hAnsi="Times New Roman"/>
                <w:sz w:val="20"/>
                <w:szCs w:val="20"/>
                <w:color w:val="auto"/>
                <w:w w:val="99"/>
              </w:rPr>
              <w:t>(State or other jurisdiction of</w:t>
            </w:r>
          </w:p>
        </w:tc>
        <w:tc>
          <w:tcPr>
            <w:tcW w:w="2620" w:type="dxa"/>
            <w:vAlign w:val="bottom"/>
          </w:tcPr>
          <w:p>
            <w:pPr>
              <w:jc w:val="center"/>
              <w:ind w:left="1000"/>
              <w:spacing w:after="0"/>
              <w:rPr>
                <w:sz w:val="20"/>
                <w:szCs w:val="20"/>
                <w:color w:val="auto"/>
              </w:rPr>
            </w:pPr>
            <w:r>
              <w:rPr>
                <w:rFonts w:ascii="Times New Roman" w:cs="Times New Roman" w:eastAsia="Times New Roman" w:hAnsi="Times New Roman"/>
                <w:sz w:val="20"/>
                <w:szCs w:val="20"/>
                <w:color w:val="auto"/>
                <w:w w:val="99"/>
              </w:rPr>
              <w:t>(I.R.S. Employer</w:t>
            </w:r>
          </w:p>
        </w:tc>
      </w:tr>
      <w:tr>
        <w:trPr>
          <w:trHeight w:val="267"/>
        </w:trPr>
        <w:tc>
          <w:tcPr>
            <w:tcW w:w="3560" w:type="dxa"/>
            <w:vAlign w:val="bottom"/>
          </w:tcPr>
          <w:p>
            <w:pPr>
              <w:jc w:val="center"/>
              <w:ind w:right="1040"/>
              <w:spacing w:after="0"/>
              <w:rPr>
                <w:sz w:val="20"/>
                <w:szCs w:val="20"/>
                <w:color w:val="auto"/>
              </w:rPr>
            </w:pPr>
            <w:r>
              <w:rPr>
                <w:rFonts w:ascii="Times New Roman" w:cs="Times New Roman" w:eastAsia="Times New Roman" w:hAnsi="Times New Roman"/>
                <w:sz w:val="20"/>
                <w:szCs w:val="20"/>
                <w:color w:val="auto"/>
              </w:rPr>
              <w:t>incorporation or organization)</w:t>
            </w:r>
          </w:p>
        </w:tc>
        <w:tc>
          <w:tcPr>
            <w:tcW w:w="2620" w:type="dxa"/>
            <w:vAlign w:val="bottom"/>
          </w:tcPr>
          <w:p>
            <w:pPr>
              <w:jc w:val="center"/>
              <w:ind w:left="1020"/>
              <w:spacing w:after="0"/>
              <w:rPr>
                <w:sz w:val="20"/>
                <w:szCs w:val="20"/>
                <w:color w:val="auto"/>
              </w:rPr>
            </w:pPr>
            <w:r>
              <w:rPr>
                <w:rFonts w:ascii="Times New Roman" w:cs="Times New Roman" w:eastAsia="Times New Roman" w:hAnsi="Times New Roman"/>
                <w:sz w:val="20"/>
                <w:szCs w:val="20"/>
                <w:color w:val="auto"/>
              </w:rPr>
              <w:t>Identification No.)</w:t>
            </w:r>
          </w:p>
        </w:tc>
      </w:tr>
    </w:tbl>
    <w:p>
      <w:pPr>
        <w:spacing w:after="0" w:line="19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b w:val="1"/>
          <w:bCs w:val="1"/>
          <w:color w:val="auto"/>
        </w:rPr>
        <w:t>3305 Flamingo Drive, Vero Beach, Florida 32963</w:t>
      </w:r>
    </w:p>
    <w:p>
      <w:pPr>
        <w:spacing w:after="0" w:line="3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(Address of principal executive offices) (Zip Code)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(772) 231-1400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2571750</wp:posOffset>
                </wp:positionH>
                <wp:positionV relativeFrom="paragraph">
                  <wp:posOffset>170815</wp:posOffset>
                </wp:positionV>
                <wp:extent cx="17145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5pt,13.45pt" to="337.5pt,13.45pt" o:allowincell="f" strokecolor="#000000" strokeweight="0.75pt"/>
            </w:pict>
          </mc:Fallback>
        </mc:AlternateConten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 None</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Securities registered pursuant to Section 12(g) of the Act:</w:t>
      </w:r>
    </w:p>
    <w:p>
      <w:pPr>
        <w:spacing w:after="0" w:line="231" w:lineRule="exact"/>
        <w:rPr>
          <w:sz w:val="20"/>
          <w:szCs w:val="20"/>
          <w:color w:val="auto"/>
        </w:rPr>
      </w:pPr>
    </w:p>
    <w:p>
      <w:pPr>
        <w:jc w:val="center"/>
        <w:ind w:right="6660"/>
        <w:spacing w:after="0"/>
        <w:rPr>
          <w:sz w:val="20"/>
          <w:szCs w:val="20"/>
          <w:color w:val="auto"/>
        </w:rPr>
      </w:pPr>
      <w:r>
        <w:rPr>
          <w:rFonts w:ascii="Times New Roman" w:cs="Times New Roman" w:eastAsia="Times New Roman" w:hAnsi="Times New Roman"/>
          <w:sz w:val="20"/>
          <w:szCs w:val="20"/>
          <w:b w:val="1"/>
          <w:bCs w:val="1"/>
          <w:color w:val="auto"/>
        </w:rPr>
        <w:t>Title of Each Class</w:t>
      </w:r>
    </w:p>
    <w:p>
      <w:pPr>
        <w:spacing w:after="0" w:line="42" w:lineRule="exact"/>
        <w:rPr>
          <w:sz w:val="20"/>
          <w:szCs w:val="20"/>
          <w:color w:val="auto"/>
        </w:rPr>
      </w:pPr>
    </w:p>
    <w:p>
      <w:pPr>
        <w:jc w:val="center"/>
        <w:ind w:right="6660"/>
        <w:spacing w:after="0"/>
        <w:rPr>
          <w:sz w:val="20"/>
          <w:szCs w:val="20"/>
          <w:color w:val="auto"/>
        </w:rPr>
      </w:pPr>
      <w:r>
        <w:rPr>
          <w:rFonts w:ascii="Times New Roman" w:cs="Times New Roman" w:eastAsia="Times New Roman" w:hAnsi="Times New Roman"/>
          <w:sz w:val="20"/>
          <w:szCs w:val="20"/>
          <w:color w:val="auto"/>
        </w:rPr>
        <w:t>Class A Common Stock, $0.001 par value</w:t>
      </w:r>
    </w:p>
    <w:p>
      <w:pPr>
        <w:spacing w:after="0" w:line="141" w:lineRule="exact"/>
        <w:rPr>
          <w:sz w:val="20"/>
          <w:szCs w:val="20"/>
          <w:color w:val="auto"/>
        </w:rPr>
      </w:pPr>
    </w:p>
    <w:p>
      <w:pPr>
        <w:ind w:right="140"/>
        <w:spacing w:after="0" w:line="476" w:lineRule="auto"/>
        <w:rPr>
          <w:sz w:val="20"/>
          <w:szCs w:val="20"/>
          <w:color w:val="auto"/>
        </w:rPr>
      </w:pPr>
      <w:r>
        <w:rPr>
          <w:rFonts w:ascii="Times New Roman" w:cs="Times New Roman" w:eastAsia="Times New Roman" w:hAnsi="Times New Roman"/>
          <w:sz w:val="20"/>
          <w:szCs w:val="20"/>
          <w:color w:val="auto"/>
        </w:rPr>
        <w:t xml:space="preserve">Indicate by check mark if the registrant is a well-known seasoned issuer, as defined in Rule 405 of the Securities Act. Yes </w:t>
      </w:r>
      <w:r>
        <w:rPr>
          <w:rFonts w:ascii="Segoe UI" w:cs="Segoe UI" w:eastAsia="Segoe UI" w:hAnsi="Segoe UI"/>
          <w:sz w:val="20"/>
          <w:szCs w:val="20"/>
          <w:color w:val="auto"/>
        </w:rPr>
        <w:t>տ</w:t>
      </w:r>
      <w:r>
        <w:rPr>
          <w:rFonts w:ascii="Times New Roman" w:cs="Times New Roman" w:eastAsia="Times New Roman" w:hAnsi="Times New Roman"/>
          <w:sz w:val="20"/>
          <w:szCs w:val="20"/>
          <w:color w:val="auto"/>
        </w:rPr>
        <w:t xml:space="preserve"> No </w:t>
      </w:r>
      <w:r>
        <w:rPr>
          <w:rFonts w:ascii="Segoe UI" w:cs="Segoe UI" w:eastAsia="Segoe UI" w:hAnsi="Segoe UI"/>
          <w:sz w:val="20"/>
          <w:szCs w:val="20"/>
          <w:color w:val="auto"/>
        </w:rPr>
        <w:t>ց</w:t>
      </w:r>
      <w:r>
        <w:rPr>
          <w:rFonts w:ascii="Times New Roman" w:cs="Times New Roman" w:eastAsia="Times New Roman" w:hAnsi="Times New Roman"/>
          <w:sz w:val="20"/>
          <w:szCs w:val="20"/>
          <w:color w:val="auto"/>
        </w:rPr>
        <w:t xml:space="preserve"> Indicate by check mark if the registrant is not required to file reports pursuant to Section 13 or Section 15(d) of the Act. Yes </w:t>
      </w:r>
      <w:r>
        <w:rPr>
          <w:rFonts w:ascii="Segoe UI" w:cs="Segoe UI" w:eastAsia="Segoe UI" w:hAnsi="Segoe UI"/>
          <w:sz w:val="20"/>
          <w:szCs w:val="20"/>
          <w:color w:val="auto"/>
        </w:rPr>
        <w:t>տ</w:t>
      </w:r>
      <w:r>
        <w:rPr>
          <w:rFonts w:ascii="Times New Roman" w:cs="Times New Roman" w:eastAsia="Times New Roman" w:hAnsi="Times New Roman"/>
          <w:sz w:val="20"/>
          <w:szCs w:val="20"/>
          <w:color w:val="auto"/>
        </w:rPr>
        <w:t xml:space="preserve"> No </w:t>
      </w:r>
      <w:r>
        <w:rPr>
          <w:rFonts w:ascii="Segoe UI" w:cs="Segoe UI" w:eastAsia="Segoe UI" w:hAnsi="Segoe UI"/>
          <w:sz w:val="20"/>
          <w:szCs w:val="20"/>
          <w:color w:val="auto"/>
        </w:rPr>
        <w:t>ց</w:t>
      </w:r>
    </w:p>
    <w:p>
      <w:pPr>
        <w:spacing w:after="0" w:line="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and (2) has been subject to such filing requirements for the past 90 days. Yes </w:t>
      </w:r>
      <w:r>
        <w:rPr>
          <w:rFonts w:ascii="Segoe UI" w:cs="Segoe UI" w:eastAsia="Segoe UI" w:hAnsi="Segoe UI"/>
          <w:sz w:val="20"/>
          <w:szCs w:val="20"/>
          <w:color w:val="auto"/>
        </w:rPr>
        <w:t>ց</w:t>
      </w:r>
      <w:r>
        <w:rPr>
          <w:rFonts w:ascii="Times New Roman" w:cs="Times New Roman" w:eastAsia="Times New Roman" w:hAnsi="Times New Roman"/>
          <w:sz w:val="20"/>
          <w:szCs w:val="20"/>
          <w:color w:val="auto"/>
        </w:rPr>
        <w:t xml:space="preserve"> No </w:t>
      </w:r>
      <w:r>
        <w:rPr>
          <w:rFonts w:ascii="Segoe UI" w:cs="Segoe UI" w:eastAsia="Segoe UI" w:hAnsi="Segoe UI"/>
          <w:sz w:val="20"/>
          <w:szCs w:val="20"/>
          <w:color w:val="auto"/>
        </w:rPr>
        <w:t>տ</w:t>
      </w:r>
    </w:p>
    <w:p>
      <w:pPr>
        <w:spacing w:after="0" w:line="21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was required to submit such files). Yes </w:t>
      </w:r>
      <w:r>
        <w:rPr>
          <w:rFonts w:ascii="Segoe UI" w:cs="Segoe UI" w:eastAsia="Segoe UI" w:hAnsi="Segoe UI"/>
          <w:sz w:val="20"/>
          <w:szCs w:val="20"/>
          <w:color w:val="auto"/>
        </w:rPr>
        <w:t>ց</w:t>
      </w:r>
      <w:r>
        <w:rPr>
          <w:rFonts w:ascii="Times New Roman" w:cs="Times New Roman" w:eastAsia="Times New Roman" w:hAnsi="Times New Roman"/>
          <w:sz w:val="20"/>
          <w:szCs w:val="20"/>
          <w:color w:val="auto"/>
        </w:rPr>
        <w:t xml:space="preserve"> No </w:t>
      </w:r>
      <w:r>
        <w:rPr>
          <w:rFonts w:ascii="Segoe UI" w:cs="Segoe UI" w:eastAsia="Segoe UI" w:hAnsi="Segoe UI"/>
          <w:sz w:val="20"/>
          <w:szCs w:val="20"/>
          <w:color w:val="auto"/>
        </w:rPr>
        <w:t>տ</w:t>
      </w:r>
    </w:p>
    <w:p>
      <w:pPr>
        <w:sectPr>
          <w:pgSz w:w="12240" w:h="15840" w:orient="portrait"/>
          <w:cols w:equalWidth="0" w:num="1">
            <w:col w:w="10800"/>
          </w:cols>
          <w:pgMar w:left="720" w:top="1375" w:right="720" w:bottom="470" w:gutter="0" w:footer="0" w:header="0"/>
        </w:sectPr>
      </w:pPr>
    </w:p>
    <w:bookmarkStart w:id="3" w:name="page4"/>
    <w:bookmarkEnd w:id="3"/>
    <w:p>
      <w:pPr>
        <w:jc w:val="both"/>
        <w:spacing w:after="0" w:line="258" w:lineRule="auto"/>
        <w:rPr>
          <w:sz w:val="20"/>
          <w:szCs w:val="20"/>
          <w:color w:val="auto"/>
        </w:rPr>
      </w:pPr>
      <w:r>
        <w:rPr>
          <w:rFonts w:ascii="Times New Roman" w:cs="Times New Roman" w:eastAsia="Times New Roman" w:hAnsi="Times New Roman"/>
          <w:sz w:val="20"/>
          <w:szCs w:val="2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0"/>
          <w:szCs w:val="20"/>
          <w:color w:val="auto"/>
        </w:rPr>
      </w:pPr>
    </w:p>
    <w:p>
      <w:pPr>
        <w:spacing w:after="0" w:line="326" w:lineRule="auto"/>
        <w:rPr>
          <w:sz w:val="20"/>
          <w:szCs w:val="20"/>
          <w:color w:val="auto"/>
        </w:rPr>
      </w:pPr>
      <w:r>
        <w:rPr>
          <w:rFonts w:ascii="Times New Roman" w:cs="Times New Roman" w:eastAsia="Times New Roman" w:hAnsi="Times New Roman"/>
          <w:sz w:val="20"/>
          <w:szCs w:val="20"/>
          <w:color w:val="auto"/>
        </w:rPr>
        <w:t xml:space="preserve">Large accelerated filer </w:t>
      </w:r>
      <w:r>
        <w:rPr>
          <w:rFonts w:ascii="Segoe UI" w:cs="Segoe UI" w:eastAsia="Segoe UI" w:hAnsi="Segoe UI"/>
          <w:sz w:val="20"/>
          <w:szCs w:val="20"/>
          <w:color w:val="auto"/>
        </w:rPr>
        <w:t>տ</w:t>
      </w:r>
      <w:r>
        <w:rPr>
          <w:sz w:val="20"/>
          <w:szCs w:val="20"/>
          <w:color w:val="auto"/>
        </w:rPr>
        <w:t xml:space="preserve"> </w:t>
      </w:r>
      <w:r>
        <w:rPr>
          <w:rFonts w:ascii="Times New Roman" w:cs="Times New Roman" w:eastAsia="Times New Roman" w:hAnsi="Times New Roman"/>
          <w:sz w:val="20"/>
          <w:szCs w:val="20"/>
          <w:color w:val="auto"/>
        </w:rPr>
        <w:t xml:space="preserve">Accelerated filer </w:t>
      </w:r>
      <w:r>
        <w:rPr>
          <w:rFonts w:ascii="Segoe UI" w:cs="Segoe UI" w:eastAsia="Segoe UI" w:hAnsi="Segoe UI"/>
          <w:sz w:val="20"/>
          <w:szCs w:val="20"/>
          <w:color w:val="auto"/>
        </w:rPr>
        <w:t>տ</w:t>
      </w:r>
      <w:r>
        <w:rPr>
          <w:rFonts w:ascii="Times New Roman" w:cs="Times New Roman" w:eastAsia="Times New Roman" w:hAnsi="Times New Roman"/>
          <w:sz w:val="20"/>
          <w:szCs w:val="20"/>
          <w:color w:val="auto"/>
        </w:rPr>
        <w:t xml:space="preserve"> Non-accelerated filer </w:t>
      </w:r>
      <w:r>
        <w:rPr>
          <w:rFonts w:ascii="Segoe UI" w:cs="Segoe UI" w:eastAsia="Segoe UI" w:hAnsi="Segoe UI"/>
          <w:sz w:val="20"/>
          <w:szCs w:val="20"/>
          <w:color w:val="auto"/>
        </w:rPr>
        <w:t>ց</w:t>
      </w:r>
      <w:r>
        <w:rPr>
          <w:rFonts w:ascii="Times New Roman" w:cs="Times New Roman" w:eastAsia="Times New Roman" w:hAnsi="Times New Roman"/>
          <w:sz w:val="20"/>
          <w:szCs w:val="20"/>
          <w:color w:val="auto"/>
        </w:rPr>
        <w:t xml:space="preserve"> Smaller Reporting Company </w:t>
      </w:r>
      <w:r>
        <w:rPr>
          <w:rFonts w:ascii="Segoe UI" w:cs="Segoe UI" w:eastAsia="Segoe UI" w:hAnsi="Segoe UI"/>
          <w:sz w:val="20"/>
          <w:szCs w:val="20"/>
          <w:color w:val="auto"/>
        </w:rPr>
        <w:t>ց</w:t>
      </w:r>
      <w:r>
        <w:rPr>
          <w:rFonts w:ascii="Times New Roman" w:cs="Times New Roman" w:eastAsia="Times New Roman" w:hAnsi="Times New Roman"/>
          <w:sz w:val="20"/>
          <w:szCs w:val="20"/>
          <w:color w:val="auto"/>
        </w:rPr>
        <w:t xml:space="preserve"> Emerging growth company </w:t>
      </w:r>
      <w:r>
        <w:rPr>
          <w:rFonts w:ascii="Segoe UI" w:cs="Segoe UI" w:eastAsia="Segoe UI" w:hAnsi="Segoe UI"/>
          <w:sz w:val="20"/>
          <w:szCs w:val="20"/>
          <w:color w:val="auto"/>
        </w:rPr>
        <w:t>տ</w:t>
      </w:r>
    </w:p>
    <w:p>
      <w:pPr>
        <w:spacing w:after="0" w:line="369" w:lineRule="exact"/>
        <w:rPr>
          <w:sz w:val="20"/>
          <w:szCs w:val="20"/>
          <w:color w:val="auto"/>
        </w:rPr>
      </w:pPr>
    </w:p>
    <w:p>
      <w:pPr>
        <w:jc w:val="both"/>
        <w:spacing w:after="0" w:line="351" w:lineRule="auto"/>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20"/>
          <w:szCs w:val="20"/>
          <w:color w:val="auto"/>
        </w:rPr>
        <w:t>տ</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public accounting firm that prepared or issued its audit report. </w:t>
      </w:r>
      <w:r>
        <w:rPr>
          <w:rFonts w:ascii="Segoe UI" w:cs="Segoe UI" w:eastAsia="Segoe UI" w:hAnsi="Segoe UI"/>
          <w:sz w:val="20"/>
          <w:szCs w:val="20"/>
          <w:color w:val="auto"/>
        </w:rPr>
        <w:t>տ</w:t>
      </w:r>
    </w:p>
    <w:p>
      <w:pPr>
        <w:spacing w:after="0" w:line="211" w:lineRule="exact"/>
        <w:rPr>
          <w:sz w:val="20"/>
          <w:szCs w:val="20"/>
          <w:color w:val="auto"/>
        </w:rPr>
      </w:pPr>
    </w:p>
    <w:p>
      <w:pPr>
        <w:jc w:val="both"/>
        <w:spacing w:after="0" w:line="351" w:lineRule="auto"/>
        <w:rPr>
          <w:sz w:val="20"/>
          <w:szCs w:val="20"/>
          <w:color w:val="auto"/>
        </w:rPr>
      </w:pPr>
      <w:r>
        <w:rPr>
          <w:rFonts w:ascii="Times New Roman" w:cs="Times New Roman" w:eastAsia="Times New Roman" w:hAnsi="Times New Roman"/>
          <w:sz w:val="20"/>
          <w:szCs w:val="20"/>
          <w:color w:val="auto"/>
        </w:rPr>
        <w:t xml:space="preserve">If securities are registered pursuant to Section 12(b) of the Exchange Act, indicate by check mark whether the financial statements of the registrant included in the filing reflect the correction of an error to previously issued financial statements. </w:t>
      </w:r>
      <w:r>
        <w:rPr>
          <w:rFonts w:ascii="Segoe UI" w:cs="Segoe UI" w:eastAsia="Segoe UI" w:hAnsi="Segoe UI"/>
          <w:sz w:val="20"/>
          <w:szCs w:val="20"/>
          <w:color w:val="auto"/>
        </w:rPr>
        <w:t>տ</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Indicate by check mark whether any of those error corrections are restatements that required a recovery analysis of incentive-based compensation received by any of the registrants’ executive officers during the relevant recovery period pursuant to Section 240.10D-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1(b). </w:t>
      </w:r>
      <w:r>
        <w:rPr>
          <w:rFonts w:ascii="Segoe UI" w:cs="Segoe UI" w:eastAsia="Segoe UI" w:hAnsi="Segoe UI"/>
          <w:sz w:val="20"/>
          <w:szCs w:val="20"/>
          <w:color w:val="auto"/>
        </w:rPr>
        <w:t>տ</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Indicate by check mark whether the registrant is a shell company (as defined in Rule 12b-2 of the Act). Yes </w:t>
      </w:r>
      <w:r>
        <w:rPr>
          <w:rFonts w:ascii="Segoe UI" w:cs="Segoe UI" w:eastAsia="Segoe UI" w:hAnsi="Segoe UI"/>
          <w:sz w:val="20"/>
          <w:szCs w:val="20"/>
          <w:color w:val="auto"/>
        </w:rPr>
        <w:t>տ</w:t>
      </w:r>
      <w:r>
        <w:rPr>
          <w:rFonts w:ascii="Times New Roman" w:cs="Times New Roman" w:eastAsia="Times New Roman" w:hAnsi="Times New Roman"/>
          <w:sz w:val="20"/>
          <w:szCs w:val="20"/>
          <w:color w:val="auto"/>
        </w:rPr>
        <w:t xml:space="preserve"> No </w:t>
      </w:r>
      <w:r>
        <w:rPr>
          <w:rFonts w:ascii="Segoe UI" w:cs="Segoe UI" w:eastAsia="Segoe UI" w:hAnsi="Segoe UI"/>
          <w:sz w:val="20"/>
          <w:szCs w:val="20"/>
          <w:color w:val="auto"/>
        </w:rPr>
        <w:t>ց</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 the aggregate market value of the voting stock held by non-affiliates of the Registrant as of June 30, 2025:</w:t>
      </w:r>
    </w:p>
    <w:p>
      <w:pPr>
        <w:sectPr>
          <w:pgSz w:w="12240" w:h="15840" w:orient="portrait"/>
          <w:cols w:equalWidth="0" w:num="1">
            <w:col w:w="10800"/>
          </w:cols>
          <w:pgMar w:left="720" w:top="556" w:right="720" w:bottom="1440" w:gutter="0" w:footer="0" w:header="0"/>
        </w:sect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Title of each Class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Class A Common Stock, $0.001 par value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-137795</wp:posOffset>
                </wp:positionV>
                <wp:extent cx="384048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4048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0.8499pt" to="302.6pt,-10.8499pt" o:allowincell="f" strokecolor="#000000" strokeweight="0.72pt"/>
            </w:pict>
          </mc:Fallback>
        </mc:AlternateConten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Class B Common Stock, $0.001 par value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Class C Common Stock, $0.001 par value</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Shares held by non-</w:t>
            </w:r>
          </w:p>
        </w:tc>
        <w:tc>
          <w:tcPr>
            <w:tcW w:w="1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Aggregate market value</w:t>
            </w:r>
          </w:p>
        </w:tc>
      </w:tr>
      <w:tr>
        <w:trPr>
          <w:trHeight w:val="262"/>
        </w:trPr>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affiliates</w:t>
            </w:r>
          </w:p>
        </w:tc>
        <w:tc>
          <w:tcPr>
            <w:tcW w:w="120" w:type="dxa"/>
            <w:vAlign w:val="bottom"/>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held by non-affiliates</w:t>
            </w:r>
          </w:p>
        </w:tc>
      </w:tr>
      <w:tr>
        <w:trPr>
          <w:trHeight w:val="215"/>
        </w:trPr>
        <w:tc>
          <w:tcPr>
            <w:tcW w:w="2260" w:type="dxa"/>
            <w:vAlign w:val="bottom"/>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5,358,791</w:t>
            </w:r>
          </w:p>
        </w:tc>
        <w:tc>
          <w:tcPr>
            <w:tcW w:w="120" w:type="dxa"/>
            <w:vAlign w:val="bottom"/>
          </w:tcPr>
          <w:p>
            <w:pPr>
              <w:spacing w:after="0"/>
              <w:rPr>
                <w:sz w:val="18"/>
                <w:szCs w:val="18"/>
                <w:color w:val="auto"/>
              </w:rPr>
            </w:pPr>
          </w:p>
        </w:tc>
        <w:tc>
          <w:tcPr>
            <w:tcW w:w="2160" w:type="dxa"/>
            <w:vAlign w:val="bottom"/>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$5,198,027(a)</w:t>
            </w:r>
          </w:p>
        </w:tc>
      </w:tr>
      <w:tr>
        <w:trPr>
          <w:trHeight w:val="240"/>
        </w:trPr>
        <w:tc>
          <w:tcPr>
            <w:tcW w:w="226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w w:val="98"/>
              </w:rPr>
              <w:t>20,760</w:t>
            </w:r>
          </w:p>
        </w:tc>
        <w:tc>
          <w:tcPr>
            <w:tcW w:w="1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$1,000 (b)</w:t>
            </w:r>
          </w:p>
        </w:tc>
      </w:tr>
      <w:tr>
        <w:trPr>
          <w:trHeight w:val="267"/>
        </w:trPr>
        <w:tc>
          <w:tcPr>
            <w:tcW w:w="226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w w:val="98"/>
              </w:rPr>
              <w:t>31,938</w:t>
            </w:r>
          </w:p>
        </w:tc>
        <w:tc>
          <w:tcPr>
            <w:tcW w:w="120" w:type="dxa"/>
            <w:vAlign w:val="bottom"/>
          </w:tcPr>
          <w:p>
            <w:pPr>
              <w:spacing w:after="0"/>
              <w:rPr>
                <w:sz w:val="23"/>
                <w:szCs w:val="23"/>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$1,500 (b)</w:t>
            </w:r>
          </w:p>
        </w:tc>
      </w:tr>
    </w:tbl>
    <w:p>
      <w:pPr>
        <w:spacing w:after="0" w:line="198" w:lineRule="exact"/>
        <w:rPr>
          <w:sz w:val="20"/>
          <w:szCs w:val="20"/>
          <w:color w:val="auto"/>
        </w:rPr>
      </w:pPr>
    </w:p>
    <w:p>
      <w:pPr>
        <w:sectPr>
          <w:pgSz w:w="12240" w:h="15840" w:orient="portrait"/>
          <w:cols w:equalWidth="0" w:num="2">
            <w:col w:w="5440" w:space="720"/>
            <w:col w:w="4640"/>
          </w:cols>
          <w:pgMar w:left="720" w:top="556" w:right="720" w:bottom="1440" w:gutter="0" w:footer="0" w:header="0"/>
          <w:type w:val="continuous"/>
        </w:sectPr>
      </w:pPr>
    </w:p>
    <w:p>
      <w:pPr>
        <w:ind w:left="280" w:hanging="280"/>
        <w:spacing w:after="0"/>
        <w:tabs>
          <w:tab w:leader="none" w:pos="2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market value was calculated by using the last sale price of the Class A Common Stock as of June 30, 2025.</w:t>
      </w:r>
    </w:p>
    <w:p>
      <w:pPr>
        <w:spacing w:after="0" w:line="28" w:lineRule="exact"/>
        <w:rPr>
          <w:rFonts w:ascii="Times New Roman" w:cs="Times New Roman" w:eastAsia="Times New Roman" w:hAnsi="Times New Roman"/>
          <w:sz w:val="20"/>
          <w:szCs w:val="20"/>
          <w:color w:val="auto"/>
        </w:rPr>
      </w:pPr>
    </w:p>
    <w:p>
      <w:pPr>
        <w:ind w:left="280" w:hanging="280"/>
        <w:spacing w:after="0"/>
        <w:tabs>
          <w:tab w:leader="none" w:pos="2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 value of the Class B and Class C Common Stock is an estimate based on their initial purchase price.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Indicate the number of shares outstanding of each of the Registrant’s classes of common stock, as of the latest practicable date: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Title of each Class</w:t>
            </w:r>
          </w:p>
        </w:tc>
        <w:tc>
          <w:tcPr>
            <w:tcW w:w="100" w:type="dxa"/>
            <w:vAlign w:val="bottom"/>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Latest Practicable Date</w:t>
            </w:r>
          </w:p>
        </w:tc>
        <w:tc>
          <w:tcPr>
            <w:tcW w:w="100" w:type="dxa"/>
            <w:vAlign w:val="bottom"/>
          </w:tcPr>
          <w:p>
            <w:pPr>
              <w:spacing w:after="0"/>
              <w:rPr>
                <w:sz w:val="22"/>
                <w:szCs w:val="22"/>
                <w:color w:val="auto"/>
              </w:rPr>
            </w:pPr>
          </w:p>
        </w:tc>
        <w:tc>
          <w:tcPr>
            <w:tcW w:w="22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0"/>
                <w:szCs w:val="20"/>
                <w:b w:val="1"/>
                <w:bCs w:val="1"/>
                <w:color w:val="auto"/>
              </w:rPr>
              <w:t>Shares Outstanding</w:t>
            </w:r>
          </w:p>
        </w:tc>
      </w:tr>
      <w:tr>
        <w:trPr>
          <w:trHeight w:val="215"/>
        </w:trPr>
        <w:tc>
          <w:tcPr>
            <w:tcW w:w="606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Class A Common Stock, $0.001 par value</w:t>
            </w:r>
          </w:p>
        </w:tc>
        <w:tc>
          <w:tcPr>
            <w:tcW w:w="100" w:type="dxa"/>
            <w:vAlign w:val="bottom"/>
          </w:tcPr>
          <w:p>
            <w:pPr>
              <w:spacing w:after="0"/>
              <w:rPr>
                <w:sz w:val="18"/>
                <w:szCs w:val="18"/>
                <w:color w:val="auto"/>
              </w:rPr>
            </w:pPr>
          </w:p>
        </w:tc>
        <w:tc>
          <w:tcPr>
            <w:tcW w:w="2160" w:type="dxa"/>
            <w:vAlign w:val="bottom"/>
          </w:tcPr>
          <w:p>
            <w:pPr>
              <w:jc w:val="center"/>
              <w:spacing w:after="0" w:line="215" w:lineRule="exact"/>
              <w:rPr>
                <w:sz w:val="20"/>
                <w:szCs w:val="20"/>
                <w:color w:val="auto"/>
              </w:rPr>
            </w:pPr>
            <w:r>
              <w:rPr>
                <w:rFonts w:ascii="Times New Roman" w:cs="Times New Roman" w:eastAsia="Times New Roman" w:hAnsi="Times New Roman"/>
                <w:sz w:val="20"/>
                <w:szCs w:val="20"/>
                <w:color w:val="auto"/>
              </w:rPr>
              <w:t>March 12, 2026</w:t>
            </w:r>
          </w:p>
        </w:tc>
        <w:tc>
          <w:tcPr>
            <w:tcW w:w="100" w:type="dxa"/>
            <w:vAlign w:val="bottom"/>
          </w:tcPr>
          <w:p>
            <w:pPr>
              <w:spacing w:after="0"/>
              <w:rPr>
                <w:sz w:val="18"/>
                <w:szCs w:val="18"/>
                <w:color w:val="auto"/>
              </w:rPr>
            </w:pPr>
          </w:p>
        </w:tc>
        <w:tc>
          <w:tcPr>
            <w:tcW w:w="2280" w:type="dxa"/>
            <w:vAlign w:val="bottom"/>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10,005,457</w:t>
            </w:r>
          </w:p>
        </w:tc>
      </w:tr>
      <w:tr>
        <w:trPr>
          <w:trHeight w:val="240"/>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Class B Common Stock, $0.001 par value</w:t>
            </w:r>
          </w:p>
        </w:tc>
        <w:tc>
          <w:tcPr>
            <w:tcW w:w="1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12, 2026</w:t>
            </w:r>
          </w:p>
        </w:tc>
        <w:tc>
          <w:tcPr>
            <w:tcW w:w="238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auto"/>
              </w:rPr>
              <w:t>31,938</w:t>
            </w:r>
          </w:p>
        </w:tc>
      </w:tr>
      <w:tr>
        <w:trPr>
          <w:trHeight w:val="267"/>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Class C Common Stock, $0.001 par value</w:t>
            </w:r>
          </w:p>
        </w:tc>
        <w:tc>
          <w:tcPr>
            <w:tcW w:w="100" w:type="dxa"/>
            <w:vAlign w:val="bottom"/>
          </w:tcPr>
          <w:p>
            <w:pPr>
              <w:spacing w:after="0"/>
              <w:rPr>
                <w:sz w:val="23"/>
                <w:szCs w:val="23"/>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12, 2026</w:t>
            </w:r>
          </w:p>
        </w:tc>
        <w:tc>
          <w:tcPr>
            <w:tcW w:w="238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auto"/>
              </w:rPr>
              <w:t>31,938</w:t>
            </w: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pacing w:after="0" w:line="23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color w:val="auto"/>
        </w:rPr>
        <w:t>Portions of the Registrant’s definitive Proxy Statement for its 2026 Annual Meeting of Stockholders of the Registrant are incorporated by reference into Part III of this Annual Report on Form 10-K (this “Report”).</w:t>
      </w:r>
    </w:p>
    <w:p>
      <w:pPr>
        <w:sectPr>
          <w:pgSz w:w="12240" w:h="15840" w:orient="portrait"/>
          <w:cols w:equalWidth="0" w:num="1">
            <w:col w:w="10800"/>
          </w:cols>
          <w:pgMar w:left="720" w:top="556" w:right="72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75"/>
        </w:trPr>
        <w:tc>
          <w:tcPr>
            <w:tcW w:w="9800" w:type="dxa"/>
            <w:vAlign w:val="bottom"/>
          </w:tcPr>
          <w:p>
            <w:pPr>
              <w:jc w:val="center"/>
              <w:ind w:left="900"/>
              <w:spacing w:after="0"/>
              <w:rPr>
                <w:sz w:val="20"/>
                <w:szCs w:val="20"/>
                <w:color w:val="auto"/>
              </w:rPr>
            </w:pPr>
            <w:r>
              <w:rPr>
                <w:rFonts w:ascii="Times New Roman" w:cs="Times New Roman" w:eastAsia="Times New Roman" w:hAnsi="Times New Roman"/>
                <w:sz w:val="20"/>
                <w:szCs w:val="20"/>
                <w:b w:val="1"/>
                <w:bCs w:val="1"/>
                <w:color w:val="auto"/>
                <w:w w:val="99"/>
              </w:rPr>
              <w:t>BIMINI CAPITAL MANAGEMENT, INC.</w:t>
            </w:r>
          </w:p>
        </w:tc>
        <w:tc>
          <w:tcPr>
            <w:tcW w:w="1000" w:type="dxa"/>
            <w:vAlign w:val="bottom"/>
          </w:tcPr>
          <w:p>
            <w:pPr>
              <w:spacing w:after="0"/>
              <w:rPr>
                <w:sz w:val="23"/>
                <w:szCs w:val="23"/>
                <w:color w:val="auto"/>
              </w:rPr>
            </w:pPr>
          </w:p>
        </w:tc>
      </w:tr>
      <w:tr>
        <w:trPr>
          <w:trHeight w:val="461"/>
        </w:trPr>
        <w:tc>
          <w:tcPr>
            <w:tcW w:w="9800" w:type="dxa"/>
            <w:vAlign w:val="bottom"/>
          </w:tcPr>
          <w:p>
            <w:pPr>
              <w:jc w:val="center"/>
              <w:ind w:left="900"/>
              <w:spacing w:after="0"/>
              <w:rPr>
                <w:sz w:val="20"/>
                <w:szCs w:val="20"/>
                <w:color w:val="auto"/>
              </w:rPr>
            </w:pPr>
            <w:r>
              <w:rPr>
                <w:rFonts w:ascii="Times New Roman" w:cs="Times New Roman" w:eastAsia="Times New Roman" w:hAnsi="Times New Roman"/>
                <w:sz w:val="20"/>
                <w:szCs w:val="20"/>
                <w:b w:val="1"/>
                <w:bCs w:val="1"/>
                <w:color w:val="auto"/>
                <w:w w:val="99"/>
              </w:rPr>
              <w:t>INDEX</w:t>
            </w:r>
          </w:p>
        </w:tc>
        <w:tc>
          <w:tcPr>
            <w:tcW w:w="1000" w:type="dxa"/>
            <w:vAlign w:val="bottom"/>
          </w:tcPr>
          <w:p>
            <w:pPr>
              <w:spacing w:after="0"/>
              <w:rPr>
                <w:sz w:val="24"/>
                <w:szCs w:val="24"/>
                <w:color w:val="auto"/>
              </w:rPr>
            </w:pPr>
          </w:p>
        </w:tc>
      </w:tr>
      <w:tr>
        <w:trPr>
          <w:trHeight w:val="434"/>
        </w:trPr>
        <w:tc>
          <w:tcPr>
            <w:tcW w:w="9800" w:type="dxa"/>
            <w:vAlign w:val="bottom"/>
          </w:tcPr>
          <w:p>
            <w:pPr>
              <w:jc w:val="center"/>
              <w:ind w:left="900"/>
              <w:spacing w:after="0"/>
              <w:rPr>
                <w:sz w:val="20"/>
                <w:szCs w:val="20"/>
                <w:color w:val="auto"/>
              </w:rPr>
            </w:pPr>
            <w:r>
              <w:rPr>
                <w:rFonts w:ascii="Times New Roman" w:cs="Times New Roman" w:eastAsia="Times New Roman" w:hAnsi="Times New Roman"/>
                <w:sz w:val="20"/>
                <w:szCs w:val="20"/>
                <w:color w:val="auto"/>
              </w:rPr>
              <w:t>PART I</w:t>
            </w:r>
          </w:p>
        </w:tc>
        <w:tc>
          <w:tcPr>
            <w:tcW w:w="1000" w:type="dxa"/>
            <w:vAlign w:val="bottom"/>
          </w:tcPr>
          <w:p>
            <w:pPr>
              <w:spacing w:after="0"/>
              <w:rPr>
                <w:sz w:val="24"/>
                <w:szCs w:val="24"/>
                <w:color w:val="auto"/>
              </w:rPr>
            </w:pPr>
          </w:p>
        </w:tc>
      </w:tr>
      <w:tr>
        <w:trPr>
          <w:trHeight w:val="240"/>
        </w:trPr>
        <w:tc>
          <w:tcPr>
            <w:tcW w:w="9800" w:type="dxa"/>
            <w:vAlign w:val="bottom"/>
          </w:tcPr>
          <w:p>
            <w:pPr>
              <w:spacing w:after="0"/>
              <w:rPr>
                <w:sz w:val="20"/>
                <w:szCs w:val="20"/>
                <w:color w:val="auto"/>
              </w:rPr>
            </w:pPr>
            <w:r>
              <w:rPr>
                <w:rFonts w:ascii="Times New Roman" w:cs="Times New Roman" w:eastAsia="Times New Roman" w:hAnsi="Times New Roman"/>
                <w:sz w:val="20"/>
                <w:szCs w:val="20"/>
                <w:color w:val="auto"/>
              </w:rPr>
              <w:t>ITEM 1. Business.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40"/>
        </w:trPr>
        <w:tc>
          <w:tcPr>
            <w:tcW w:w="9800" w:type="dxa"/>
            <w:vAlign w:val="bottom"/>
          </w:tcPr>
          <w:p>
            <w:pPr>
              <w:spacing w:after="0"/>
              <w:rPr>
                <w:sz w:val="20"/>
                <w:szCs w:val="20"/>
                <w:color w:val="auto"/>
              </w:rPr>
            </w:pPr>
            <w:r>
              <w:rPr>
                <w:rFonts w:ascii="Times New Roman" w:cs="Times New Roman" w:eastAsia="Times New Roman" w:hAnsi="Times New Roman"/>
                <w:sz w:val="20"/>
                <w:szCs w:val="20"/>
                <w:color w:val="auto"/>
              </w:rPr>
              <w:t>ITEM 1A. Risk Factors.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40"/>
        </w:trPr>
        <w:tc>
          <w:tcPr>
            <w:tcW w:w="9800" w:type="dxa"/>
            <w:vAlign w:val="bottom"/>
          </w:tcPr>
          <w:p>
            <w:pPr>
              <w:spacing w:after="0"/>
              <w:rPr>
                <w:sz w:val="20"/>
                <w:szCs w:val="20"/>
                <w:color w:val="auto"/>
              </w:rPr>
            </w:pPr>
            <w:r>
              <w:rPr>
                <w:rFonts w:ascii="Times New Roman" w:cs="Times New Roman" w:eastAsia="Times New Roman" w:hAnsi="Times New Roman"/>
                <w:sz w:val="20"/>
                <w:szCs w:val="20"/>
                <w:color w:val="auto"/>
              </w:rPr>
              <w:t>ITEM 1B. Unresolved Staff Comments.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40"/>
        </w:trPr>
        <w:tc>
          <w:tcPr>
            <w:tcW w:w="9800" w:type="dxa"/>
            <w:vAlign w:val="bottom"/>
          </w:tcPr>
          <w:p>
            <w:pPr>
              <w:spacing w:after="0"/>
              <w:rPr>
                <w:sz w:val="20"/>
                <w:szCs w:val="20"/>
                <w:color w:val="auto"/>
              </w:rPr>
            </w:pPr>
            <w:r>
              <w:rPr>
                <w:rFonts w:ascii="Times New Roman" w:cs="Times New Roman" w:eastAsia="Times New Roman" w:hAnsi="Times New Roman"/>
                <w:sz w:val="20"/>
                <w:szCs w:val="20"/>
                <w:color w:val="auto"/>
              </w:rPr>
              <w:t>ITEM 1C. Cybersecurity</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40"/>
        </w:trPr>
        <w:tc>
          <w:tcPr>
            <w:tcW w:w="9800" w:type="dxa"/>
            <w:vAlign w:val="bottom"/>
          </w:tcPr>
          <w:p>
            <w:pPr>
              <w:spacing w:after="0"/>
              <w:rPr>
                <w:sz w:val="20"/>
                <w:szCs w:val="20"/>
                <w:color w:val="auto"/>
              </w:rPr>
            </w:pPr>
            <w:r>
              <w:rPr>
                <w:rFonts w:ascii="Times New Roman" w:cs="Times New Roman" w:eastAsia="Times New Roman" w:hAnsi="Times New Roman"/>
                <w:sz w:val="20"/>
                <w:szCs w:val="20"/>
                <w:color w:val="auto"/>
              </w:rPr>
              <w:t>ITEM 2. Properties.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40"/>
        </w:trPr>
        <w:tc>
          <w:tcPr>
            <w:tcW w:w="9800" w:type="dxa"/>
            <w:vAlign w:val="bottom"/>
          </w:tcPr>
          <w:p>
            <w:pPr>
              <w:spacing w:after="0"/>
              <w:rPr>
                <w:sz w:val="20"/>
                <w:szCs w:val="20"/>
                <w:color w:val="auto"/>
              </w:rPr>
            </w:pPr>
            <w:r>
              <w:rPr>
                <w:rFonts w:ascii="Times New Roman" w:cs="Times New Roman" w:eastAsia="Times New Roman" w:hAnsi="Times New Roman"/>
                <w:sz w:val="20"/>
                <w:szCs w:val="20"/>
                <w:color w:val="auto"/>
              </w:rPr>
              <w:t>ITEM 3. Legal Proceedings.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40"/>
        </w:trPr>
        <w:tc>
          <w:tcPr>
            <w:tcW w:w="9800" w:type="dxa"/>
            <w:vAlign w:val="bottom"/>
          </w:tcPr>
          <w:p>
            <w:pPr>
              <w:spacing w:after="0"/>
              <w:rPr>
                <w:sz w:val="20"/>
                <w:szCs w:val="20"/>
                <w:color w:val="auto"/>
              </w:rPr>
            </w:pPr>
            <w:r>
              <w:rPr>
                <w:rFonts w:ascii="Times New Roman" w:cs="Times New Roman" w:eastAsia="Times New Roman" w:hAnsi="Times New Roman"/>
                <w:sz w:val="20"/>
                <w:szCs w:val="20"/>
                <w:color w:val="auto"/>
              </w:rPr>
              <w:t>ITEM 4. Mine Safety Disclosures.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40"/>
        </w:trPr>
        <w:tc>
          <w:tcPr>
            <w:tcW w:w="9800" w:type="dxa"/>
            <w:vAlign w:val="bottom"/>
          </w:tcPr>
          <w:p>
            <w:pPr>
              <w:jc w:val="center"/>
              <w:ind w:left="900"/>
              <w:spacing w:after="0"/>
              <w:rPr>
                <w:sz w:val="20"/>
                <w:szCs w:val="20"/>
                <w:color w:val="auto"/>
              </w:rPr>
            </w:pPr>
            <w:r>
              <w:rPr>
                <w:rFonts w:ascii="Times New Roman" w:cs="Times New Roman" w:eastAsia="Times New Roman" w:hAnsi="Times New Roman"/>
                <w:sz w:val="20"/>
                <w:szCs w:val="20"/>
                <w:color w:val="auto"/>
                <w:w w:val="97"/>
              </w:rPr>
              <w:t>PART II</w:t>
            </w:r>
          </w:p>
        </w:tc>
        <w:tc>
          <w:tcPr>
            <w:tcW w:w="1000" w:type="dxa"/>
            <w:vAlign w:val="bottom"/>
          </w:tcPr>
          <w:p>
            <w:pPr>
              <w:spacing w:after="0"/>
              <w:rPr>
                <w:sz w:val="20"/>
                <w:szCs w:val="20"/>
                <w:color w:val="auto"/>
              </w:rPr>
            </w:pPr>
          </w:p>
        </w:tc>
      </w:tr>
      <w:tr>
        <w:trPr>
          <w:trHeight w:val="230"/>
        </w:trPr>
        <w:tc>
          <w:tcPr>
            <w:tcW w:w="9800" w:type="dxa"/>
            <w:vAlign w:val="bottom"/>
          </w:tcPr>
          <w:p>
            <w:pPr>
              <w:spacing w:after="0"/>
              <w:rPr>
                <w:sz w:val="20"/>
                <w:szCs w:val="20"/>
                <w:color w:val="auto"/>
              </w:rPr>
            </w:pPr>
            <w:r>
              <w:rPr>
                <w:rFonts w:ascii="Times New Roman" w:cs="Times New Roman" w:eastAsia="Times New Roman" w:hAnsi="Times New Roman"/>
                <w:sz w:val="20"/>
                <w:szCs w:val="20"/>
                <w:color w:val="auto"/>
              </w:rPr>
              <w:t>ITEM 5. Market for Registrant's Common Equity, Related Stockholder Matters and Issuer Purchases of Equity</w:t>
            </w:r>
          </w:p>
        </w:tc>
        <w:tc>
          <w:tcPr>
            <w:tcW w:w="1000" w:type="dxa"/>
            <w:vAlign w:val="bottom"/>
          </w:tcPr>
          <w:p>
            <w:pPr>
              <w:spacing w:after="0"/>
              <w:rPr>
                <w:sz w:val="20"/>
                <w:szCs w:val="20"/>
                <w:color w:val="auto"/>
              </w:rPr>
            </w:pPr>
          </w:p>
        </w:tc>
      </w:tr>
      <w:tr>
        <w:trPr>
          <w:trHeight w:val="240"/>
        </w:trPr>
        <w:tc>
          <w:tcPr>
            <w:tcW w:w="9800" w:type="dxa"/>
            <w:vAlign w:val="bottom"/>
          </w:tcPr>
          <w:p>
            <w:pPr>
              <w:spacing w:after="0"/>
              <w:rPr>
                <w:sz w:val="20"/>
                <w:szCs w:val="20"/>
                <w:color w:val="auto"/>
              </w:rPr>
            </w:pPr>
            <w:r>
              <w:rPr>
                <w:rFonts w:ascii="Times New Roman" w:cs="Times New Roman" w:eastAsia="Times New Roman" w:hAnsi="Times New Roman"/>
                <w:sz w:val="20"/>
                <w:szCs w:val="20"/>
                <w:color w:val="auto"/>
              </w:rPr>
              <w:t>Securities.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40"/>
        </w:trPr>
        <w:tc>
          <w:tcPr>
            <w:tcW w:w="9800" w:type="dxa"/>
            <w:vAlign w:val="bottom"/>
          </w:tcPr>
          <w:p>
            <w:pPr>
              <w:spacing w:after="0"/>
              <w:rPr>
                <w:sz w:val="20"/>
                <w:szCs w:val="20"/>
                <w:color w:val="auto"/>
              </w:rPr>
            </w:pPr>
            <w:r>
              <w:rPr>
                <w:rFonts w:ascii="Times New Roman" w:cs="Times New Roman" w:eastAsia="Times New Roman" w:hAnsi="Times New Roman"/>
                <w:sz w:val="20"/>
                <w:szCs w:val="20"/>
                <w:color w:val="auto"/>
              </w:rPr>
              <w:t>ITEM 6. Reserved.</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40"/>
        </w:trPr>
        <w:tc>
          <w:tcPr>
            <w:tcW w:w="9800" w:type="dxa"/>
            <w:vAlign w:val="bottom"/>
          </w:tcPr>
          <w:p>
            <w:pPr>
              <w:spacing w:after="0"/>
              <w:rPr>
                <w:sz w:val="20"/>
                <w:szCs w:val="20"/>
                <w:color w:val="auto"/>
              </w:rPr>
            </w:pPr>
            <w:r>
              <w:rPr>
                <w:rFonts w:ascii="Times New Roman" w:cs="Times New Roman" w:eastAsia="Times New Roman" w:hAnsi="Times New Roman"/>
                <w:sz w:val="20"/>
                <w:szCs w:val="20"/>
                <w:color w:val="auto"/>
              </w:rPr>
              <w:t>ITEM 7. Management's Discussion and Analysis of Financial Condition and Results of Operations.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39"/>
        </w:trPr>
        <w:tc>
          <w:tcPr>
            <w:tcW w:w="9800" w:type="dxa"/>
            <w:vAlign w:val="bottom"/>
          </w:tcPr>
          <w:p>
            <w:pPr>
              <w:spacing w:after="0"/>
              <w:rPr>
                <w:sz w:val="20"/>
                <w:szCs w:val="20"/>
                <w:color w:val="auto"/>
              </w:rPr>
            </w:pPr>
            <w:r>
              <w:rPr>
                <w:rFonts w:ascii="Times New Roman" w:cs="Times New Roman" w:eastAsia="Times New Roman" w:hAnsi="Times New Roman"/>
                <w:sz w:val="20"/>
                <w:szCs w:val="20"/>
                <w:color w:val="auto"/>
              </w:rPr>
              <w:t>ITEM 7A. Quantitative and Qualitative Disclosures About Market Risk.</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40"/>
        </w:trPr>
        <w:tc>
          <w:tcPr>
            <w:tcW w:w="9800" w:type="dxa"/>
            <w:vAlign w:val="bottom"/>
          </w:tcPr>
          <w:p>
            <w:pPr>
              <w:spacing w:after="0"/>
              <w:rPr>
                <w:sz w:val="20"/>
                <w:szCs w:val="20"/>
                <w:color w:val="auto"/>
              </w:rPr>
            </w:pPr>
            <w:r>
              <w:rPr>
                <w:rFonts w:ascii="Times New Roman" w:cs="Times New Roman" w:eastAsia="Times New Roman" w:hAnsi="Times New Roman"/>
                <w:sz w:val="20"/>
                <w:szCs w:val="20"/>
                <w:color w:val="auto"/>
              </w:rPr>
              <w:t>ITEM 8. Financial Statements and Supplementary Data.</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40"/>
        </w:trPr>
        <w:tc>
          <w:tcPr>
            <w:tcW w:w="9800" w:type="dxa"/>
            <w:vAlign w:val="bottom"/>
          </w:tcPr>
          <w:p>
            <w:pPr>
              <w:spacing w:after="0"/>
              <w:rPr>
                <w:sz w:val="20"/>
                <w:szCs w:val="20"/>
                <w:color w:val="auto"/>
              </w:rPr>
            </w:pPr>
            <w:r>
              <w:rPr>
                <w:rFonts w:ascii="Times New Roman" w:cs="Times New Roman" w:eastAsia="Times New Roman" w:hAnsi="Times New Roman"/>
                <w:sz w:val="20"/>
                <w:szCs w:val="20"/>
                <w:color w:val="auto"/>
              </w:rPr>
              <w:t>ITEM 9. Changes in and Disagreements with Accountants on Accounting and Financial Disclosure.</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40"/>
        </w:trPr>
        <w:tc>
          <w:tcPr>
            <w:tcW w:w="9800" w:type="dxa"/>
            <w:vAlign w:val="bottom"/>
          </w:tcPr>
          <w:p>
            <w:pPr>
              <w:spacing w:after="0"/>
              <w:rPr>
                <w:sz w:val="20"/>
                <w:szCs w:val="20"/>
                <w:color w:val="auto"/>
              </w:rPr>
            </w:pPr>
            <w:r>
              <w:rPr>
                <w:rFonts w:ascii="Times New Roman" w:cs="Times New Roman" w:eastAsia="Times New Roman" w:hAnsi="Times New Roman"/>
                <w:sz w:val="20"/>
                <w:szCs w:val="20"/>
                <w:color w:val="auto"/>
              </w:rPr>
              <w:t>ITEM 9A. Controls and Procedures.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40"/>
        </w:trPr>
        <w:tc>
          <w:tcPr>
            <w:tcW w:w="9800" w:type="dxa"/>
            <w:vAlign w:val="bottom"/>
          </w:tcPr>
          <w:p>
            <w:pPr>
              <w:spacing w:after="0"/>
              <w:rPr>
                <w:sz w:val="20"/>
                <w:szCs w:val="20"/>
                <w:color w:val="auto"/>
              </w:rPr>
            </w:pPr>
            <w:r>
              <w:rPr>
                <w:rFonts w:ascii="Times New Roman" w:cs="Times New Roman" w:eastAsia="Times New Roman" w:hAnsi="Times New Roman"/>
                <w:sz w:val="20"/>
                <w:szCs w:val="20"/>
                <w:color w:val="auto"/>
              </w:rPr>
              <w:t>ITEM 9B. Other Information.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40"/>
        </w:trPr>
        <w:tc>
          <w:tcPr>
            <w:tcW w:w="9800" w:type="dxa"/>
            <w:vAlign w:val="bottom"/>
          </w:tcPr>
          <w:p>
            <w:pPr>
              <w:spacing w:after="0"/>
              <w:rPr>
                <w:sz w:val="20"/>
                <w:szCs w:val="20"/>
                <w:color w:val="auto"/>
              </w:rPr>
            </w:pPr>
            <w:r>
              <w:rPr>
                <w:rFonts w:ascii="Times New Roman" w:cs="Times New Roman" w:eastAsia="Times New Roman" w:hAnsi="Times New Roman"/>
                <w:sz w:val="20"/>
                <w:szCs w:val="20"/>
                <w:color w:val="auto"/>
              </w:rPr>
              <w:t>ITEM 9C. Disclosure Regarding Foreign Jurisdictions that Prevent Inspections.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40"/>
        </w:trPr>
        <w:tc>
          <w:tcPr>
            <w:tcW w:w="9800" w:type="dxa"/>
            <w:vAlign w:val="bottom"/>
          </w:tcPr>
          <w:p>
            <w:pPr>
              <w:jc w:val="center"/>
              <w:ind w:left="900"/>
              <w:spacing w:after="0"/>
              <w:rPr>
                <w:sz w:val="20"/>
                <w:szCs w:val="20"/>
                <w:color w:val="auto"/>
              </w:rPr>
            </w:pPr>
            <w:r>
              <w:rPr>
                <w:rFonts w:ascii="Times New Roman" w:cs="Times New Roman" w:eastAsia="Times New Roman" w:hAnsi="Times New Roman"/>
                <w:sz w:val="20"/>
                <w:szCs w:val="20"/>
                <w:color w:val="auto"/>
                <w:w w:val="99"/>
              </w:rPr>
              <w:t>PART III</w:t>
            </w:r>
          </w:p>
        </w:tc>
        <w:tc>
          <w:tcPr>
            <w:tcW w:w="1000" w:type="dxa"/>
            <w:vAlign w:val="bottom"/>
          </w:tcPr>
          <w:p>
            <w:pPr>
              <w:spacing w:after="0"/>
              <w:rPr>
                <w:sz w:val="20"/>
                <w:szCs w:val="20"/>
                <w:color w:val="auto"/>
              </w:rPr>
            </w:pPr>
          </w:p>
        </w:tc>
      </w:tr>
      <w:tr>
        <w:trPr>
          <w:trHeight w:val="240"/>
        </w:trPr>
        <w:tc>
          <w:tcPr>
            <w:tcW w:w="9800" w:type="dxa"/>
            <w:vAlign w:val="bottom"/>
          </w:tcPr>
          <w:p>
            <w:pPr>
              <w:spacing w:after="0"/>
              <w:rPr>
                <w:sz w:val="20"/>
                <w:szCs w:val="20"/>
                <w:color w:val="auto"/>
              </w:rPr>
            </w:pPr>
            <w:r>
              <w:rPr>
                <w:rFonts w:ascii="Times New Roman" w:cs="Times New Roman" w:eastAsia="Times New Roman" w:hAnsi="Times New Roman"/>
                <w:sz w:val="20"/>
                <w:szCs w:val="20"/>
                <w:color w:val="auto"/>
              </w:rPr>
              <w:t>ITEM 10. Directors, Executive Officers and Corporate Governance.</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40"/>
        </w:trPr>
        <w:tc>
          <w:tcPr>
            <w:tcW w:w="9800" w:type="dxa"/>
            <w:vAlign w:val="bottom"/>
          </w:tcPr>
          <w:p>
            <w:pPr>
              <w:spacing w:after="0"/>
              <w:rPr>
                <w:sz w:val="20"/>
                <w:szCs w:val="20"/>
                <w:color w:val="auto"/>
              </w:rPr>
            </w:pPr>
            <w:r>
              <w:rPr>
                <w:rFonts w:ascii="Times New Roman" w:cs="Times New Roman" w:eastAsia="Times New Roman" w:hAnsi="Times New Roman"/>
                <w:sz w:val="20"/>
                <w:szCs w:val="20"/>
                <w:color w:val="auto"/>
              </w:rPr>
              <w:t>ITEM 11. Executive Compensation.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40"/>
        </w:trPr>
        <w:tc>
          <w:tcPr>
            <w:tcW w:w="9800" w:type="dxa"/>
            <w:vAlign w:val="bottom"/>
          </w:tcPr>
          <w:p>
            <w:pPr>
              <w:spacing w:after="0"/>
              <w:rPr>
                <w:sz w:val="20"/>
                <w:szCs w:val="20"/>
                <w:color w:val="auto"/>
              </w:rPr>
            </w:pPr>
            <w:r>
              <w:rPr>
                <w:rFonts w:ascii="Times New Roman" w:cs="Times New Roman" w:eastAsia="Times New Roman" w:hAnsi="Times New Roman"/>
                <w:sz w:val="20"/>
                <w:szCs w:val="20"/>
                <w:color w:val="auto"/>
              </w:rPr>
              <w:t>ITEM 12. Security Ownership of Certain Beneficial Owners and Management and Related Stockholder Matters.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40"/>
        </w:trPr>
        <w:tc>
          <w:tcPr>
            <w:tcW w:w="9800" w:type="dxa"/>
            <w:vAlign w:val="bottom"/>
          </w:tcPr>
          <w:p>
            <w:pPr>
              <w:spacing w:after="0"/>
              <w:rPr>
                <w:sz w:val="20"/>
                <w:szCs w:val="20"/>
                <w:color w:val="auto"/>
              </w:rPr>
            </w:pPr>
            <w:r>
              <w:rPr>
                <w:rFonts w:ascii="Times New Roman" w:cs="Times New Roman" w:eastAsia="Times New Roman" w:hAnsi="Times New Roman"/>
                <w:sz w:val="20"/>
                <w:szCs w:val="20"/>
                <w:color w:val="auto"/>
              </w:rPr>
              <w:t>ITEM 13. Certain Relationships and Related Transactions, and Director Independence.</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40"/>
        </w:trPr>
        <w:tc>
          <w:tcPr>
            <w:tcW w:w="9800" w:type="dxa"/>
            <w:vAlign w:val="bottom"/>
          </w:tcPr>
          <w:p>
            <w:pPr>
              <w:spacing w:after="0"/>
              <w:rPr>
                <w:sz w:val="20"/>
                <w:szCs w:val="20"/>
                <w:color w:val="auto"/>
              </w:rPr>
            </w:pPr>
            <w:r>
              <w:rPr>
                <w:rFonts w:ascii="Times New Roman" w:cs="Times New Roman" w:eastAsia="Times New Roman" w:hAnsi="Times New Roman"/>
                <w:sz w:val="20"/>
                <w:szCs w:val="20"/>
                <w:color w:val="auto"/>
              </w:rPr>
              <w:t>ITEM 14. Principal Accountant Fees and Services.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40"/>
        </w:trPr>
        <w:tc>
          <w:tcPr>
            <w:tcW w:w="9800" w:type="dxa"/>
            <w:vAlign w:val="bottom"/>
          </w:tcPr>
          <w:p>
            <w:pPr>
              <w:jc w:val="center"/>
              <w:ind w:left="900"/>
              <w:spacing w:after="0"/>
              <w:rPr>
                <w:sz w:val="20"/>
                <w:szCs w:val="20"/>
                <w:color w:val="auto"/>
              </w:rPr>
            </w:pPr>
            <w:r>
              <w:rPr>
                <w:rFonts w:ascii="Times New Roman" w:cs="Times New Roman" w:eastAsia="Times New Roman" w:hAnsi="Times New Roman"/>
                <w:sz w:val="20"/>
                <w:szCs w:val="20"/>
                <w:color w:val="auto"/>
                <w:w w:val="98"/>
              </w:rPr>
              <w:t>PART IV</w:t>
            </w:r>
          </w:p>
        </w:tc>
        <w:tc>
          <w:tcPr>
            <w:tcW w:w="1000" w:type="dxa"/>
            <w:vAlign w:val="bottom"/>
          </w:tcPr>
          <w:p>
            <w:pPr>
              <w:spacing w:after="0"/>
              <w:rPr>
                <w:sz w:val="20"/>
                <w:szCs w:val="20"/>
                <w:color w:val="auto"/>
              </w:rPr>
            </w:pPr>
          </w:p>
        </w:tc>
      </w:tr>
      <w:tr>
        <w:trPr>
          <w:trHeight w:val="240"/>
        </w:trPr>
        <w:tc>
          <w:tcPr>
            <w:tcW w:w="9800" w:type="dxa"/>
            <w:vAlign w:val="bottom"/>
          </w:tcPr>
          <w:p>
            <w:pPr>
              <w:spacing w:after="0"/>
              <w:rPr>
                <w:sz w:val="20"/>
                <w:szCs w:val="20"/>
                <w:color w:val="auto"/>
              </w:rPr>
            </w:pPr>
            <w:r>
              <w:rPr>
                <w:rFonts w:ascii="Times New Roman" w:cs="Times New Roman" w:eastAsia="Times New Roman" w:hAnsi="Times New Roman"/>
                <w:sz w:val="20"/>
                <w:szCs w:val="20"/>
                <w:color w:val="auto"/>
              </w:rPr>
              <w:t>ITEM 15. Exhibits and Financial Statement Schedules.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67"/>
        </w:trPr>
        <w:tc>
          <w:tcPr>
            <w:tcW w:w="9800" w:type="dxa"/>
            <w:vAlign w:val="bottom"/>
          </w:tcPr>
          <w:p>
            <w:pPr>
              <w:spacing w:after="0"/>
              <w:rPr>
                <w:sz w:val="20"/>
                <w:szCs w:val="20"/>
                <w:color w:val="auto"/>
              </w:rPr>
            </w:pPr>
            <w:r>
              <w:rPr>
                <w:rFonts w:ascii="Times New Roman" w:cs="Times New Roman" w:eastAsia="Times New Roman" w:hAnsi="Times New Roman"/>
                <w:sz w:val="20"/>
                <w:szCs w:val="20"/>
                <w:color w:val="auto"/>
              </w:rPr>
              <w:t>ITEM 16. Form 10-K Summary.</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bl>
    <w:p>
      <w:pPr>
        <w:sectPr>
          <w:pgSz w:w="12240" w:h="15840" w:orient="portrait"/>
          <w:cols w:equalWidth="0" w:num="1">
            <w:col w:w="10800"/>
          </w:cols>
          <w:pgMar w:left="720" w:top="1057" w:right="72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p>
      <w:pPr>
        <w:spacing w:after="0" w:line="235" w:lineRule="exact"/>
        <w:rPr>
          <w:sz w:val="20"/>
          <w:szCs w:val="20"/>
          <w:color w:val="auto"/>
        </w:rPr>
      </w:pPr>
    </w:p>
    <w:p>
      <w:pPr>
        <w:ind w:right="20" w:firstLine="360"/>
        <w:spacing w:after="0" w:line="244" w:lineRule="auto"/>
        <w:rPr>
          <w:sz w:val="20"/>
          <w:szCs w:val="20"/>
          <w:color w:val="auto"/>
        </w:rPr>
      </w:pPr>
      <w:r>
        <w:rPr>
          <w:rFonts w:ascii="Times New Roman" w:cs="Times New Roman" w:eastAsia="Times New Roman" w:hAnsi="Times New Roman"/>
          <w:sz w:val="20"/>
          <w:szCs w:val="20"/>
          <w:color w:val="auto"/>
        </w:rPr>
        <w:t>We make forward- looking statements in this Report that are subject to risks and uncertainties. In some cases, these statements can be identified by the use of forward-looking terminology such as “believe,” “expect,” “anticipate,” “estimate,” “intend,” “should,” “may,” “plans,” “projects,” “will,” or similar expressions, or the negative of these words. These forward-looking statements involve risks and uncertainties because they relate to events, developments, and circumstances relating to our business, industry financial condition, liquidity, results of operations, plans and objectives and/or general economic or other conditions that may or may not occur in the future or may occur on longer or shorter timelines or to a greater or lesser degree than anticipated. Although we believe that we have a reasonable basis for each forward-looking statement contained in this report, forward-looking statements are not guarantees of future performance, and our actual results of operations, financial condition and liquidity, and the development of the industry in which we operate, may differ materially from the forward-looking statements contained in this Report as a result of the following factors, among others:</w:t>
      </w:r>
    </w:p>
    <w:p>
      <w:pPr>
        <w:spacing w:after="0" w:line="196" w:lineRule="exact"/>
        <w:rPr>
          <w:sz w:val="20"/>
          <w:szCs w:val="20"/>
          <w:color w:val="auto"/>
        </w:rPr>
      </w:pPr>
    </w:p>
    <w:p>
      <w:pPr>
        <w:ind w:left="720" w:hanging="35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movements in interest rates;</w:t>
      </w:r>
    </w:p>
    <w:p>
      <w:pPr>
        <w:spacing w:after="0" w:line="36"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and investment strategy;</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acquire investments on attractive terms;</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prepayment rates on the value of our assets;</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access the capital markets;</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future financing arrangements;</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hedge the interest rate risk and prepayment risk associated with our portfolio;</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understanding of our competition and our ability to compete effectively;</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quantify risk based on historical experience;</w:t>
      </w:r>
    </w:p>
    <w:p>
      <w:pPr>
        <w:spacing w:after="0" w:line="10" w:lineRule="exact"/>
        <w:rPr>
          <w:rFonts w:ascii="Times New Roman" w:cs="Times New Roman" w:eastAsia="Times New Roman" w:hAnsi="Times New Roman"/>
          <w:sz w:val="20"/>
          <w:szCs w:val="20"/>
          <w:color w:val="auto"/>
        </w:rPr>
      </w:pPr>
    </w:p>
    <w:p>
      <w:pPr>
        <w:ind w:left="720" w:right="140" w:hanging="350"/>
        <w:spacing w:after="0" w:line="243"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forecast our tax attributes, which are based upon various facts and assumptions, and our ability to protect and use our net operating loss carryforwards ("NOLs") to offset future taxable income, including whether our stockholder rights plan will be effective in preventing an ownership change that would significantly limit our ability to utilize such NOLs;</w:t>
      </w:r>
    </w:p>
    <w:p>
      <w:pPr>
        <w:spacing w:after="0" w:line="1"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technology on our operations and business;</w:t>
      </w:r>
    </w:p>
    <w:p>
      <w:pPr>
        <w:spacing w:after="0" w:line="10" w:lineRule="exact"/>
        <w:rPr>
          <w:rFonts w:ascii="Times New Roman" w:cs="Times New Roman" w:eastAsia="Times New Roman" w:hAnsi="Times New Roman"/>
          <w:sz w:val="20"/>
          <w:szCs w:val="20"/>
          <w:color w:val="auto"/>
        </w:rPr>
      </w:pPr>
    </w:p>
    <w:p>
      <w:pPr>
        <w:ind w:left="720" w:hanging="350"/>
        <w:spacing w:after="0" w:line="245"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our exemption from the obligation to register under the Investment Company Act of 1940, as amended (the “Investment Company Act”);</w:t>
      </w:r>
    </w:p>
    <w:p>
      <w:pPr>
        <w:ind w:left="720" w:hanging="35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trends;</w:t>
      </w:r>
    </w:p>
    <w:p>
      <w:pPr>
        <w:spacing w:after="0" w:line="10" w:lineRule="exact"/>
        <w:rPr>
          <w:rFonts w:ascii="Times New Roman" w:cs="Times New Roman" w:eastAsia="Times New Roman" w:hAnsi="Times New Roman"/>
          <w:sz w:val="20"/>
          <w:szCs w:val="20"/>
          <w:color w:val="auto"/>
        </w:rPr>
      </w:pPr>
    </w:p>
    <w:p>
      <w:pPr>
        <w:ind w:left="720" w:right="20" w:hanging="350"/>
        <w:spacing w:after="0" w:line="242"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actual, anticipated or proposed actions of the U.S. government, including the U.S. Federal Reserve (the "Fed"), the Federal Housing Finance Agency (the "FHFA"), the Federal Housing Administration (the "FHA"), the Federal Open Market Committee (the "FOMC") and the U.S. Treasury, on interest rates, monetary policy, fiscal policy and the housing and credit markets;</w:t>
      </w:r>
    </w:p>
    <w:p>
      <w:pPr>
        <w:spacing w:after="0" w:line="2" w:lineRule="exact"/>
        <w:rPr>
          <w:rFonts w:ascii="Times New Roman" w:cs="Times New Roman" w:eastAsia="Times New Roman" w:hAnsi="Times New Roman"/>
          <w:sz w:val="20"/>
          <w:szCs w:val="20"/>
          <w:color w:val="auto"/>
        </w:rPr>
      </w:pPr>
    </w:p>
    <w:p>
      <w:pPr>
        <w:ind w:left="720" w:right="440" w:hanging="350"/>
        <w:spacing w:after="0" w:line="243"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conservatorship of the Federal National Mortgage Association (“Fannie Mae”) and the Federal Home Loan Mortgage Corporation (“Freddie Mac”) and related efforts, along with any changes in laws and regulations affecting the relationship between Fannie-Mae and Freddie Mac and the U.S. government;</w:t>
      </w:r>
    </w:p>
    <w:p>
      <w:pPr>
        <w:spacing w:after="0" w:line="1"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inflation on general economic conditions and monetary policy;</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future changes in tax laws or tax rates;</w:t>
      </w:r>
    </w:p>
    <w:p>
      <w:pPr>
        <w:spacing w:after="0" w:line="10" w:lineRule="exact"/>
        <w:rPr>
          <w:rFonts w:ascii="Times New Roman" w:cs="Times New Roman" w:eastAsia="Times New Roman" w:hAnsi="Times New Roman"/>
          <w:sz w:val="20"/>
          <w:szCs w:val="20"/>
          <w:color w:val="auto"/>
        </w:rPr>
      </w:pPr>
    </w:p>
    <w:p>
      <w:pPr>
        <w:ind w:left="720" w:right="660" w:hanging="350"/>
        <w:spacing w:after="0" w:line="244"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geo-political events, government responses to such events and the related impact on the economy both nationally and internationally.</w:t>
      </w:r>
    </w:p>
    <w:p>
      <w:pPr>
        <w:spacing w:after="0" w:line="1"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other risks described from time to time in our filings with the Securities and Exchange Commission (the “SEC”).</w:t>
      </w:r>
    </w:p>
    <w:p>
      <w:pPr>
        <w:spacing w:after="0" w:line="209" w:lineRule="exact"/>
        <w:rPr>
          <w:sz w:val="20"/>
          <w:szCs w:val="20"/>
          <w:color w:val="auto"/>
        </w:rPr>
      </w:pPr>
    </w:p>
    <w:p>
      <w:pPr>
        <w:jc w:val="both"/>
        <w:ind w:right="340" w:firstLine="360"/>
        <w:spacing w:after="0" w:line="249" w:lineRule="auto"/>
        <w:rPr>
          <w:sz w:val="20"/>
          <w:szCs w:val="20"/>
          <w:color w:val="auto"/>
        </w:rPr>
      </w:pPr>
      <w:r>
        <w:rPr>
          <w:rFonts w:ascii="Times New Roman" w:cs="Times New Roman" w:eastAsia="Times New Roman" w:hAnsi="Times New Roman"/>
          <w:sz w:val="20"/>
          <w:szCs w:val="20"/>
          <w:color w:val="auto"/>
        </w:rPr>
        <w:t>The forward-looking statements are based on our beliefs, assumptions and expectations of our future performance, taking into account all information currently available to us. You should not place undue reliance on these forward-looking statements. These beliefs, assumptions and expectations can change as a result of many possible events or factors, not all of which are known to us.</w:t>
      </w:r>
    </w:p>
    <w:p>
      <w:pPr>
        <w:spacing w:after="0" w:line="2"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20"/>
          <w:szCs w:val="20"/>
          <w:color w:val="auto"/>
        </w:rPr>
        <w:t>Some of these factors are described under the caption ‘‘Risk Factors’’ in this Report and any subsequent reports filed with or furnished to the SEC. If a change occurs, our business, financial condition, liquidity and results of operations may vary materially from those expressed in our forward-looking statements. Any forward-looking statement speaks only as of the date on which it is made. New risks and uncertainties arise from time to time, and it is impossible for us to predict those events or how they may affect us. Except as required by law, we are not obligated to, and do not intend to, update or revise any forward-looking statements, whether as a result of new information, future events or otherwise.</w:t>
      </w:r>
    </w:p>
    <w:p>
      <w:pPr>
        <w:sectPr>
          <w:pgSz w:w="12240" w:h="15840" w:orient="portrait"/>
          <w:cols w:equalWidth="0" w:num="1">
            <w:col w:w="10780"/>
          </w:cols>
          <w:pgMar w:left="720" w:top="1057" w:right="740"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35" w:lineRule="exact"/>
        <w:rPr>
          <w:sz w:val="20"/>
          <w:szCs w:val="20"/>
          <w:color w:val="auto"/>
        </w:rPr>
      </w:pPr>
    </w:p>
    <w:p>
      <w:pPr>
        <w:ind w:right="100" w:firstLine="360"/>
        <w:spacing w:after="0" w:line="256" w:lineRule="auto"/>
        <w:rPr>
          <w:sz w:val="20"/>
          <w:szCs w:val="20"/>
          <w:color w:val="auto"/>
        </w:rPr>
      </w:pPr>
      <w:r>
        <w:rPr>
          <w:rFonts w:ascii="Times New Roman" w:cs="Times New Roman" w:eastAsia="Times New Roman" w:hAnsi="Times New Roman"/>
          <w:sz w:val="19"/>
          <w:szCs w:val="19"/>
          <w:color w:val="auto"/>
        </w:rPr>
        <w:t>Bimini Capital Management, Inc., a Maryland corporation (“Bimini Capital” and, collectively with its subsidiaries, the “Company,” “we”, “us” or “our”) is a specialty finance company that operates in two business segments: (i) investing in mortgage-backed securities (“MBS”) and Orchid Island Capital, Inc. (“Orchid”) common stock in our own portfolio, (ii) and serving as the external manager of Orchid which also invests in MBS. In both cases, the principal and interest payments of these MBS are guaranteed by Fannie Mae, Freddie Mac or the Government National Mortgage Association (“Ginnie Mae” and, collectively with Fannie Mae and Freddie Mac, “GSEs”) and are backed primarily by single-family residential mortgage loans. We refer to these types of MBS as “Agency MBS.” Our portfolio primarily consists of traditional pass-through ("PT") Agency MBS, such as mortgage</w:t>
      </w:r>
    </w:p>
    <w:p>
      <w:pPr>
        <w:spacing w:after="0" w:line="6"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PT certificates and collateralized mortgage obligations (“CMOs”) issued by the GSEs; and structured Agency MBS, such as interest only securities (“IOs”), inverse interest only securities (“IIOs”) and principal only securities (“POs”).</w:t>
      </w:r>
    </w:p>
    <w:p>
      <w:pPr>
        <w:spacing w:after="0" w:line="185" w:lineRule="exact"/>
        <w:rPr>
          <w:sz w:val="20"/>
          <w:szCs w:val="20"/>
          <w:color w:val="auto"/>
        </w:rPr>
      </w:pPr>
    </w:p>
    <w:p>
      <w:pPr>
        <w:ind w:right="940" w:firstLine="360"/>
        <w:spacing w:after="0" w:line="278" w:lineRule="auto"/>
        <w:rPr>
          <w:sz w:val="20"/>
          <w:szCs w:val="20"/>
          <w:color w:val="auto"/>
        </w:rPr>
      </w:pPr>
      <w:r>
        <w:rPr>
          <w:rFonts w:ascii="Times New Roman" w:cs="Times New Roman" w:eastAsia="Times New Roman" w:hAnsi="Times New Roman"/>
          <w:sz w:val="20"/>
          <w:szCs w:val="20"/>
          <w:color w:val="auto"/>
        </w:rPr>
        <w:t>The Company’s operations are classified into two reportable segments: the investment portfolio segment and the asset management segment.</w:t>
      </w:r>
    </w:p>
    <w:p>
      <w:pPr>
        <w:spacing w:after="0" w:line="157"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The investment portfolio segment includes the investment activities conducted at Bimini Capital’s wholly owned subsidiary, Royal Palm Capital, LLC (“Royal Palm”). The investment portfolio segment receives revenue in the form of interest and dividend income on its investments. References to the general management of the Company’s portfolio of MBS refer to the operations of Royal Palm.</w:t>
      </w:r>
    </w:p>
    <w:p>
      <w:pPr>
        <w:spacing w:after="0" w:line="184" w:lineRule="exact"/>
        <w:rPr>
          <w:sz w:val="20"/>
          <w:szCs w:val="20"/>
          <w:color w:val="auto"/>
        </w:rPr>
      </w:pPr>
    </w:p>
    <w:p>
      <w:pPr>
        <w:ind w:right="20" w:firstLine="360"/>
        <w:spacing w:after="0" w:line="249" w:lineRule="auto"/>
        <w:rPr>
          <w:sz w:val="20"/>
          <w:szCs w:val="20"/>
          <w:color w:val="auto"/>
        </w:rPr>
      </w:pPr>
      <w:r>
        <w:rPr>
          <w:rFonts w:ascii="Times New Roman" w:cs="Times New Roman" w:eastAsia="Times New Roman" w:hAnsi="Times New Roman"/>
          <w:sz w:val="20"/>
          <w:szCs w:val="20"/>
          <w:color w:val="auto"/>
        </w:rPr>
        <w:t>The asset management segment includes the arrangement by which the Company, through Bimini Advisors, LLC, an investment advisor registered with the SEC, serves as the external manager of Orchid. From this arrangement the Company receives management fees and expense reimbursements. Bimini Advisors, LLC is a wholly owned subsidiary of Bimini Advisors Holdings, LLC ("Holdings"), which is a wholly owned subsidiary of Royal Palm. Holdings and Bimini Advisors, LLC are collectively referred to as “Bimini Advisors.”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 of Orchid</w:t>
      </w:r>
    </w:p>
    <w:p>
      <w:pPr>
        <w:spacing w:after="0" w:line="234" w:lineRule="exact"/>
        <w:rPr>
          <w:sz w:val="20"/>
          <w:szCs w:val="20"/>
          <w:color w:val="auto"/>
        </w:rPr>
      </w:pPr>
    </w:p>
    <w:p>
      <w:pPr>
        <w:ind w:right="220" w:firstLine="360"/>
        <w:spacing w:after="0" w:line="249" w:lineRule="auto"/>
        <w:rPr>
          <w:sz w:val="20"/>
          <w:szCs w:val="20"/>
          <w:color w:val="auto"/>
        </w:rPr>
      </w:pPr>
      <w:r>
        <w:rPr>
          <w:rFonts w:ascii="Times New Roman" w:cs="Times New Roman" w:eastAsia="Times New Roman" w:hAnsi="Times New Roman"/>
          <w:sz w:val="20"/>
          <w:szCs w:val="20"/>
          <w:color w:val="auto"/>
        </w:rPr>
        <w:t>Orchid is externally managed and advised by Bimini Advisors' MBS investment team pursuant to the terms of a management agreement. As manager, Bimini Advisors is responsible for administering Orchid’s business activities and day-to-day operations. Pursuant to the terms of the management agreement, Bimini Advisors provides Orchid with its management team, including its officers, along with appropriate support personnel. Bimini Advisors is at all times subject to the supervision and oversight of, and is only permitted to perform such functions designated by, Orchid’s board of directors.</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Bimini Advisors receives a monthly management fee in the amount of:</w:t>
      </w:r>
    </w:p>
    <w:p>
      <w:pPr>
        <w:spacing w:after="0" w:line="233" w:lineRule="exact"/>
        <w:rPr>
          <w:sz w:val="20"/>
          <w:szCs w:val="20"/>
          <w:color w:val="auto"/>
        </w:rPr>
      </w:pPr>
    </w:p>
    <w:p>
      <w:pPr>
        <w:ind w:left="720" w:hanging="35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One-twelfth of 1.5% of the first $250 million of Orchid’s equity, as defined in the management agreement,</w:t>
      </w:r>
    </w:p>
    <w:p>
      <w:pPr>
        <w:spacing w:after="0" w:line="36"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One-twelfth of 1.25% of Orchid’s equity that is greater than $250 million and less than or equal to $500 million, and</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One-twelfth of 1.00% of Orchid’s equity that is greater than $500 million.</w:t>
      </w:r>
    </w:p>
    <w:p>
      <w:pPr>
        <w:spacing w:after="0" w:line="208" w:lineRule="exact"/>
        <w:rPr>
          <w:sz w:val="20"/>
          <w:szCs w:val="20"/>
          <w:color w:val="auto"/>
        </w:rPr>
      </w:pPr>
    </w:p>
    <w:p>
      <w:pPr>
        <w:ind w:right="220" w:firstLine="360"/>
        <w:spacing w:after="0" w:line="252" w:lineRule="auto"/>
        <w:rPr>
          <w:sz w:val="20"/>
          <w:szCs w:val="20"/>
          <w:color w:val="auto"/>
        </w:rPr>
      </w:pPr>
      <w:r>
        <w:rPr>
          <w:rFonts w:ascii="Times New Roman" w:cs="Times New Roman" w:eastAsia="Times New Roman" w:hAnsi="Times New Roman"/>
          <w:sz w:val="20"/>
          <w:szCs w:val="20"/>
          <w:color w:val="auto"/>
        </w:rPr>
        <w:t>Orchid is obligated to reimburse Bimini Advisors for any direct expenses incurred on its behalf. In addition, Bimini Advisors allocates to Orchid its pro rata portion of certain overhead costs as set forth in the management agreement. Should Orchid terminate the management agreement without cause, it shall pay to Bimini Advisors a termination fee equal to three times the average annual management fee, as defined in the management agreement, before or on the last day of the automatic renewal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0760"/>
          </w:cols>
          <w:pgMar w:left="720" w:top="828" w:right="760" w:bottom="135"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20"/>
          <w:szCs w:val="20"/>
          <w:b w:val="1"/>
          <w:bCs w:val="1"/>
          <w:color w:val="auto"/>
        </w:rPr>
        <w:t>Pending Acquisition of Tom Johnson Investment Management</w:t>
      </w:r>
    </w:p>
    <w:p>
      <w:pPr>
        <w:spacing w:after="0" w:line="235" w:lineRule="exact"/>
        <w:rPr>
          <w:sz w:val="20"/>
          <w:szCs w:val="20"/>
          <w:color w:val="auto"/>
        </w:rPr>
      </w:pPr>
    </w:p>
    <w:p>
      <w:pPr>
        <w:ind w:left="20" w:firstLine="360"/>
        <w:spacing w:after="0" w:line="244" w:lineRule="auto"/>
        <w:rPr>
          <w:sz w:val="20"/>
          <w:szCs w:val="20"/>
          <w:color w:val="auto"/>
        </w:rPr>
      </w:pPr>
      <w:r>
        <w:rPr>
          <w:rFonts w:ascii="Times New Roman" w:cs="Times New Roman" w:eastAsia="Times New Roman" w:hAnsi="Times New Roman"/>
          <w:sz w:val="20"/>
          <w:szCs w:val="20"/>
          <w:color w:val="auto"/>
        </w:rPr>
        <w:t>On January 13, 2026, the Company announced that Holdings has entered into an agreement to purchase eighty percent (80%) of the fully diluted equity interests of Tom Johnson Investment Management, LLC (“TJIM”), a privately held registered investment adviser. The transaction is expected to close at the beginning of the second quarter of 2026. As of the announcement date, TJIM had approximately $1.6 billion of assets under management across equity and fixed income markets. TJIM’s management agreements are diverse, covering individual accounts, sub-advisory agreements, and wrap programs. The existing owners of TJIM will retain an ownership interest in TJIM and Bimini intends to retain its current staff and investment management team following the closing of the transaction. The transaction documents include mutual put and call rights that could result in our acquisition of the remaining 20% equity interest retained by the existing owners. The transaction is intended to transition Bimini into a pure asset management firm with a more diverse mix of assets under its respective management teams.</w:t>
      </w:r>
    </w:p>
    <w:p>
      <w:pPr>
        <w:spacing w:after="0" w:line="195" w:lineRule="exact"/>
        <w:rPr>
          <w:sz w:val="20"/>
          <w:szCs w:val="20"/>
          <w:color w:val="auto"/>
        </w:rPr>
      </w:pPr>
    </w:p>
    <w:p>
      <w:pPr>
        <w:ind w:left="20" w:firstLine="360"/>
        <w:spacing w:after="0" w:line="244" w:lineRule="auto"/>
        <w:rPr>
          <w:sz w:val="20"/>
          <w:szCs w:val="20"/>
          <w:color w:val="auto"/>
        </w:rPr>
      </w:pPr>
      <w:r>
        <w:rPr>
          <w:rFonts w:ascii="Times New Roman" w:cs="Times New Roman" w:eastAsia="Times New Roman" w:hAnsi="Times New Roman"/>
          <w:sz w:val="20"/>
          <w:szCs w:val="20"/>
          <w:color w:val="auto"/>
        </w:rPr>
        <w:t>If the acquisition of TJIM is completed, the composition of the Company’s business will change both from the perspective of how its capital is deployed and how it reports its results for its operating segments. The acquisition of an 80% ownership interest in TJIM will require the deployment of a significant portion of the Company’s capital, including all capital currently deployed into the investment portfolio, with the exception of shares of Orchid. The results of TJIM going forward would represent a significant portion of the Company’s aggregate results. If the acquisition is completed and the Company is able to generate and retain earnings going forward, the Company expects that such funds will be deployed into an Agency MBS investment portfolio, in which case they are expected to be managed more conservatively in terms of the amount of leverage employed when compared to leverage employed by the Company historically. Given the Company’s intention to retain ownership of shares of Orchid if the transaction closes, the Company’s operating segments would consist of the management of Orchid, the controlling stake in the operations of TJIM, and to a lesser extent its investment portfolio, for a total of three reportable segments.</w:t>
      </w:r>
    </w:p>
    <w:p>
      <w:pPr>
        <w:spacing w:after="0" w:line="192" w:lineRule="exact"/>
        <w:rPr>
          <w:sz w:val="20"/>
          <w:szCs w:val="20"/>
          <w:color w:val="auto"/>
        </w:rPr>
      </w:pPr>
    </w:p>
    <w:p>
      <w:pPr>
        <w:ind w:right="20" w:firstLine="360"/>
        <w:spacing w:after="0" w:line="259" w:lineRule="auto"/>
        <w:rPr>
          <w:sz w:val="20"/>
          <w:szCs w:val="20"/>
          <w:color w:val="auto"/>
        </w:rPr>
      </w:pPr>
      <w:r>
        <w:rPr>
          <w:rFonts w:ascii="Times New Roman" w:cs="Times New Roman" w:eastAsia="Times New Roman" w:hAnsi="Times New Roman"/>
          <w:sz w:val="20"/>
          <w:szCs w:val="20"/>
          <w:color w:val="auto"/>
        </w:rPr>
        <w:t>With respect to the Company’s results of operations for 2025 and 2024, the investment portfolio comprised one of the Company’s reportable segments and the Company deployed significant capital to those operations. Accordingly, such operations are described in detail below.</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The Investment Strategy</w:t>
      </w:r>
    </w:p>
    <w:p>
      <w:pPr>
        <w:spacing w:after="0" w:line="234" w:lineRule="exact"/>
        <w:rPr>
          <w:sz w:val="20"/>
          <w:szCs w:val="20"/>
          <w:color w:val="auto"/>
        </w:rPr>
      </w:pPr>
    </w:p>
    <w:p>
      <w:pPr>
        <w:ind w:left="20" w:right="240" w:firstLine="360"/>
        <w:spacing w:after="0" w:line="247" w:lineRule="auto"/>
        <w:rPr>
          <w:sz w:val="20"/>
          <w:szCs w:val="20"/>
          <w:color w:val="auto"/>
        </w:rPr>
      </w:pPr>
      <w:r>
        <w:rPr>
          <w:rFonts w:ascii="Times New Roman" w:cs="Times New Roman" w:eastAsia="Times New Roman" w:hAnsi="Times New Roman"/>
          <w:sz w:val="20"/>
          <w:szCs w:val="20"/>
          <w:color w:val="auto"/>
        </w:rPr>
        <w:t>With respect to our own portfolio, our objective is to generate attractive risk-adjusted total returns over the long term through a combination of capital appreciation and interest income. We intend to achieve this objective by investing in PT Agency MBS and structured Agency MBS. We seek to generate income from (i) the net interest margin on the leveraged PT MBS portfolio and the leveraged portion of the structured Agency MBS portfolio, and (ii) the interest income we generate from the unleveraged portion of the structured Agency MBS portfolio. We also seek to minimize the volatility of both the net asset value of, and income from, the portfolio through asset selection, liquidity and active interest rate risk management.</w:t>
      </w:r>
    </w:p>
    <w:p>
      <w:pPr>
        <w:spacing w:after="0" w:line="191" w:lineRule="exact"/>
        <w:rPr>
          <w:sz w:val="20"/>
          <w:szCs w:val="20"/>
          <w:color w:val="auto"/>
        </w:rPr>
      </w:pPr>
    </w:p>
    <w:p>
      <w:pPr>
        <w:ind w:left="20" w:right="60" w:firstLine="360"/>
        <w:spacing w:after="0" w:line="252" w:lineRule="auto"/>
        <w:rPr>
          <w:sz w:val="20"/>
          <w:szCs w:val="20"/>
          <w:color w:val="auto"/>
        </w:rPr>
      </w:pPr>
      <w:r>
        <w:rPr>
          <w:rFonts w:ascii="Times New Roman" w:cs="Times New Roman" w:eastAsia="Times New Roman" w:hAnsi="Times New Roman"/>
          <w:sz w:val="20"/>
          <w:szCs w:val="20"/>
          <w:color w:val="auto"/>
        </w:rPr>
        <w:t>We fund the PT Agency MBS and certain of the structured Agency MBS through repurchase agreements. However, we generally do not employ leverage on the structured Agency MBS that have no principal balance, such as IOs and IIOs, because those securities contain structural leverage. We may pledge a portion of structured assets to increase the cash balance, but we do not intend to invest the cash derived from pledging these assets.</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Our investment strategy consists of the following components:</w:t>
      </w:r>
    </w:p>
    <w:p>
      <w:pPr>
        <w:spacing w:after="0" w:line="232" w:lineRule="exact"/>
        <w:rPr>
          <w:sz w:val="20"/>
          <w:szCs w:val="20"/>
          <w:color w:val="auto"/>
        </w:rPr>
      </w:pPr>
    </w:p>
    <w:p>
      <w:pPr>
        <w:ind w:left="740" w:right="140" w:hanging="350"/>
        <w:spacing w:after="0" w:line="259" w:lineRule="auto"/>
        <w:tabs>
          <w:tab w:leader="none" w:pos="7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investing in PT Agency MBS, including specified pools, CMOs and certain structured Agency MBS on a leveraged basis to increase returns on the capital allocated to this portfolio;</w:t>
      </w:r>
    </w:p>
    <w:p>
      <w:pPr>
        <w:ind w:left="740" w:right="120" w:hanging="350"/>
        <w:spacing w:after="0" w:line="242" w:lineRule="auto"/>
        <w:tabs>
          <w:tab w:leader="none" w:pos="7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investing in certain structured Agency MBS, such as IOs and IIOs, generally on an unleveraged basis in order to (i) increase returns due to the structural leverage contained in such securities, (ii) enhance liquidity due to the fact that these securities will be unencumbered or, when encumbered, the cash from such borrowings may be retained and (iii) diversify portfolio interest rate risk due to the different interest rate sensitivity these securities have compared to PT Agency MBS;</w:t>
      </w:r>
    </w:p>
    <w:p>
      <w:pPr>
        <w:spacing w:after="0" w:line="2" w:lineRule="exact"/>
        <w:rPr>
          <w:rFonts w:ascii="Times New Roman" w:cs="Times New Roman" w:eastAsia="Times New Roman" w:hAnsi="Times New Roman"/>
          <w:sz w:val="20"/>
          <w:szCs w:val="20"/>
          <w:color w:val="auto"/>
        </w:rPr>
      </w:pPr>
    </w:p>
    <w:p>
      <w:pPr>
        <w:ind w:left="740" w:hanging="350"/>
        <w:spacing w:after="0"/>
        <w:tabs>
          <w:tab w:leader="none" w:pos="7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investing in Agency MBS in order to minimize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800"/>
          </w:cols>
          <w:pgMar w:left="700" w:top="781" w:right="740" w:bottom="135" w:gutter="0" w:footer="0" w:header="0"/>
        </w:sectPr>
      </w:pPr>
    </w:p>
    <w:bookmarkStart w:id="8" w:name="page9"/>
    <w:bookmarkEnd w:id="8"/>
    <w:p>
      <w:pPr>
        <w:ind w:left="720" w:hanging="35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investing in Orchid common stock, and, potentially, other REIT common stock;</w:t>
      </w:r>
    </w:p>
    <w:p>
      <w:pPr>
        <w:spacing w:after="0" w:line="36" w:lineRule="exact"/>
        <w:rPr>
          <w:rFonts w:ascii="Times New Roman" w:cs="Times New Roman" w:eastAsia="Times New Roman" w:hAnsi="Times New Roman"/>
          <w:sz w:val="20"/>
          <w:szCs w:val="20"/>
          <w:color w:val="auto"/>
        </w:rPr>
      </w:pPr>
    </w:p>
    <w:p>
      <w:pPr>
        <w:ind w:left="720" w:right="820" w:hanging="350"/>
        <w:spacing w:after="0" w:line="245"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investing in assets that will cause us to maintain our exclusion from regulation as an investment company under the Investment Company Act; and</w:t>
      </w:r>
    </w:p>
    <w:p>
      <w:pPr>
        <w:ind w:left="720" w:hanging="35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hedging our financing costs in order to protect our net-interest margin during periods of rising short-term interest rates.</w:t>
      </w:r>
    </w:p>
    <w:p>
      <w:pPr>
        <w:spacing w:after="0" w:line="209"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Our management team makes investment decisions based on various factors, including, but not limited to, relative value, expected cash yield, supply and demand, costs of hedging, costs of financing, liquidity requirements, expected future interest rate volatility and the overall shape of the U.S. Treasury and interest rate swap yield curves. We do not attribute any particular quantitative significance to any of these factors, and the weight we give to these factors depends on market conditions and economic trends.</w:t>
      </w:r>
    </w:p>
    <w:p>
      <w:pPr>
        <w:spacing w:after="0" w:line="184" w:lineRule="exact"/>
        <w:rPr>
          <w:sz w:val="20"/>
          <w:szCs w:val="20"/>
          <w:color w:val="auto"/>
        </w:rPr>
      </w:pPr>
    </w:p>
    <w:p>
      <w:pPr>
        <w:ind w:right="760" w:firstLine="360"/>
        <w:spacing w:after="0" w:line="304" w:lineRule="auto"/>
        <w:rPr>
          <w:sz w:val="20"/>
          <w:szCs w:val="20"/>
          <w:color w:val="auto"/>
        </w:rPr>
      </w:pPr>
      <w:r>
        <w:rPr>
          <w:rFonts w:ascii="Times New Roman" w:cs="Times New Roman" w:eastAsia="Times New Roman" w:hAnsi="Times New Roman"/>
          <w:sz w:val="19"/>
          <w:szCs w:val="19"/>
          <w:color w:val="auto"/>
        </w:rPr>
        <w:t>Over time, we will modify our investment strategy as market conditions change to seek to maximize the returns from our investment portfolio. We believe that this strategy will enable us to provide attractive long-term returns to our stockholders.</w:t>
      </w:r>
    </w:p>
    <w:p>
      <w:pPr>
        <w:spacing w:after="0" w:line="1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target asset categories and principal assets in which we intend to invest are as follows: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Pass-through Agency MBS</w:t>
      </w:r>
    </w:p>
    <w:p>
      <w:pPr>
        <w:spacing w:after="0" w:line="228" w:lineRule="exact"/>
        <w:rPr>
          <w:sz w:val="20"/>
          <w:szCs w:val="20"/>
          <w:color w:val="auto"/>
        </w:rPr>
      </w:pPr>
    </w:p>
    <w:p>
      <w:pPr>
        <w:ind w:right="180" w:firstLine="360"/>
        <w:spacing w:after="0" w:line="249" w:lineRule="auto"/>
        <w:rPr>
          <w:sz w:val="20"/>
          <w:szCs w:val="20"/>
          <w:color w:val="auto"/>
        </w:rPr>
      </w:pPr>
      <w:r>
        <w:rPr>
          <w:rFonts w:ascii="Times New Roman" w:cs="Times New Roman" w:eastAsia="Times New Roman" w:hAnsi="Times New Roman"/>
          <w:sz w:val="20"/>
          <w:szCs w:val="20"/>
          <w:color w:val="auto"/>
        </w:rPr>
        <w:t>We invest in PT Agency MBS, which are securities secured by residential real property in which payments of both interest and principal on the securities are generally made monthly. In effect, these securities pass-through the monthly payments made by the individual borrowers on the mortgage loans that underlie the securities, net of fees paid to the loan servicer and the guarantor of the securities. PT certificates can be divided into various categories based on the characteristics of the underlying mortgages, such as the term or whether the interest rate is fixed or variable.</w:t>
      </w:r>
    </w:p>
    <w:p>
      <w:pPr>
        <w:spacing w:after="0" w:line="187" w:lineRule="exact"/>
        <w:rPr>
          <w:sz w:val="20"/>
          <w:szCs w:val="20"/>
          <w:color w:val="auto"/>
        </w:rPr>
      </w:pPr>
    </w:p>
    <w:p>
      <w:pPr>
        <w:jc w:val="both"/>
        <w:ind w:right="20" w:firstLine="360"/>
        <w:spacing w:after="0" w:line="259" w:lineRule="auto"/>
        <w:rPr>
          <w:sz w:val="20"/>
          <w:szCs w:val="20"/>
          <w:color w:val="auto"/>
        </w:rPr>
      </w:pPr>
      <w:r>
        <w:rPr>
          <w:rFonts w:ascii="Times New Roman" w:cs="Times New Roman" w:eastAsia="Times New Roman" w:hAnsi="Times New Roman"/>
          <w:sz w:val="20"/>
          <w:szCs w:val="20"/>
          <w:color w:val="auto"/>
        </w:rPr>
        <w:t>The payment of principal and interest on mortgage PT securities issued by Ginnie Mae, but not the market value, is guaranteed by the full faith and credit of the federal government. Payment of principal and interest on mortgage PT certificates issued by Fannie Mae and Freddie Mac, but not the market value, is guaranteed by the respective agency issuing the security.</w:t>
      </w:r>
    </w:p>
    <w:p>
      <w:pPr>
        <w:spacing w:after="0" w:line="176" w:lineRule="exact"/>
        <w:rPr>
          <w:sz w:val="20"/>
          <w:szCs w:val="20"/>
          <w:color w:val="auto"/>
        </w:rPr>
      </w:pPr>
    </w:p>
    <w:p>
      <w:pPr>
        <w:ind w:firstLine="360"/>
        <w:spacing w:after="0" w:line="246" w:lineRule="auto"/>
        <w:rPr>
          <w:sz w:val="20"/>
          <w:szCs w:val="20"/>
          <w:color w:val="auto"/>
        </w:rPr>
      </w:pPr>
      <w:r>
        <w:rPr>
          <w:rFonts w:ascii="Times New Roman" w:cs="Times New Roman" w:eastAsia="Times New Roman" w:hAnsi="Times New Roman"/>
          <w:sz w:val="20"/>
          <w:szCs w:val="20"/>
          <w:color w:val="auto"/>
        </w:rPr>
        <w:t>A key feature of most mortgage loans is the ability of the borrower to repay principal earlier than scheduled. This is called a prepayment. Prepayments arise primarily due to sale of the underlying property, refinancing, foreclosure or accelerated amortization by the borrower. Prepayments result in a return of principal to PT certificate holders. This may result in a lower or higher rate of return upon reinvestment of principal. This is generally referred to as prepayment uncertainty. If a security purchased at a premium prepays at a higher-than-expected rate, then the value of the premium would be eroded at a faster-than-expected rate. Similarly, if a discount mortgage prepays at a lower-than-expected rate, the amortization towards par would be accumulated at a slower-than-expected rate. The possibility of these undesirable effects is sometimes referred to as “prepayment risk.”</w:t>
      </w:r>
    </w:p>
    <w:p>
      <w:pPr>
        <w:spacing w:after="0" w:line="190" w:lineRule="exact"/>
        <w:rPr>
          <w:sz w:val="20"/>
          <w:szCs w:val="20"/>
          <w:color w:val="auto"/>
        </w:rPr>
      </w:pPr>
    </w:p>
    <w:p>
      <w:pPr>
        <w:ind w:firstLine="360"/>
        <w:spacing w:after="0" w:line="247" w:lineRule="auto"/>
        <w:rPr>
          <w:sz w:val="20"/>
          <w:szCs w:val="20"/>
          <w:color w:val="auto"/>
        </w:rPr>
      </w:pPr>
      <w:r>
        <w:rPr>
          <w:rFonts w:ascii="Times New Roman" w:cs="Times New Roman" w:eastAsia="Times New Roman" w:hAnsi="Times New Roman"/>
          <w:sz w:val="20"/>
          <w:szCs w:val="20"/>
          <w:color w:val="auto"/>
        </w:rPr>
        <w:t>In general, declining interest rates tend to increase prepayments, and rising interest rates tend to slow prepayments. Like other fixed-income securities, when interest rates rise, the value of Agency MBS generally declines. The rate of prepayments on underlying mortgages will affect the price and volatility of Agency MBS and may shorten or extend the effective maturity of the security beyond what was anticipated at the time of purchase. If interest rates rise, our holdings of Agency MBS may experience reduced spreads over our funding costs if the borrowers of the underlying mortgages pay off their mortgages later than anticipated. This is generally referred to as “extension” risk.</w:t>
      </w:r>
    </w:p>
    <w:p>
      <w:pPr>
        <w:spacing w:after="0" w:line="191" w:lineRule="exact"/>
        <w:rPr>
          <w:sz w:val="20"/>
          <w:szCs w:val="20"/>
          <w:color w:val="auto"/>
        </w:rPr>
      </w:pPr>
    </w:p>
    <w:p>
      <w:pPr>
        <w:ind w:right="20" w:firstLine="360"/>
        <w:spacing w:after="0" w:line="244" w:lineRule="auto"/>
        <w:rPr>
          <w:sz w:val="20"/>
          <w:szCs w:val="20"/>
          <w:color w:val="auto"/>
        </w:rPr>
      </w:pPr>
      <w:r>
        <w:rPr>
          <w:rFonts w:ascii="Times New Roman" w:cs="Times New Roman" w:eastAsia="Times New Roman" w:hAnsi="Times New Roman"/>
          <w:sz w:val="20"/>
          <w:szCs w:val="20"/>
          <w:color w:val="auto"/>
        </w:rPr>
        <w:t>Pass-through Agency MBS loans with characteristics such that prepayment risk is reduced when pooled together are referred to as “specified pools.” Such securities typically trade at a premium to pools without such favorable characteristics and the magnitude of the premium varies with the perceived benefit of the favorable loan characteristic. Such securities are expected to result in higher realized interest income over time. Examples of such favorable loan characteristics would be lower loan balances. The primary reason is the cost to refinance a mortgage loan is to a large extent fixed. Since the benefit of a lower interest rate and the resulting interest savings over time decline as the outstanding loan balance declines, all else equal the decline in the interest rate must be larger as the outstanding loan balance declines in order to justify the cost to refinance the loan. Additional examples would be loans to borrowers with lower credit scores since such borrowers typically cannot qualify for lower loans as readily as borrowers with higher credit scores. The Company typically allocates a high percentage of its pass-through Agency MBS to specified pools.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800"/>
          </w:cols>
          <w:pgMar w:left="720" w:top="790" w:right="720" w:bottom="135" w:gutter="0" w:footer="0" w:header="0"/>
        </w:sectPr>
      </w:pPr>
    </w:p>
    <w:bookmarkStart w:id="9" w:name="page10"/>
    <w:bookmarkEnd w:id="9"/>
    <w:p>
      <w:pPr>
        <w:ind w:right="40" w:firstLine="360"/>
        <w:spacing w:after="0" w:line="243" w:lineRule="auto"/>
        <w:rPr>
          <w:sz w:val="20"/>
          <w:szCs w:val="20"/>
          <w:color w:val="auto"/>
        </w:rPr>
      </w:pPr>
      <w:r>
        <w:rPr>
          <w:rFonts w:ascii="Times New Roman" w:cs="Times New Roman" w:eastAsia="Times New Roman" w:hAnsi="Times New Roman"/>
          <w:sz w:val="20"/>
          <w:szCs w:val="20"/>
          <w:color w:val="auto"/>
        </w:rPr>
        <w:t>We may also invest in To-Be-Announced Forward Contracts ("TBAs"). A TBA security is a forward contract for the purchase or sale of Agency MBS at a predetermined price, face amount, issuer, coupon and stated maturity on an agreed-upon future date. The specific Agency 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MBS purchased or sold for a forward settlement date are typically priced at a discount to equivalent securities settling in the current month. This difference, or "price drop," is the economic equivalent of interest income on the underlying Agency MBS, less an implied funding cost, over the forward settlement period (referred to as "dollar roll income"). Consequently, forward purchases of Agency MBS and dollar roll transactions represent a form of off-balance sheet financing. These TBAs are accounted for as derivatives and changes in fair value are recognized through the income statement and are not included in interest income.</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mortgage loans underlying PT certificates can generally be classified into the following categories:</w:t>
      </w:r>
    </w:p>
    <w:p>
      <w:pPr>
        <w:spacing w:after="0" w:line="231" w:lineRule="exact"/>
        <w:rPr>
          <w:sz w:val="20"/>
          <w:szCs w:val="20"/>
          <w:color w:val="auto"/>
        </w:rPr>
      </w:pPr>
    </w:p>
    <w:p>
      <w:pPr>
        <w:ind w:left="720" w:hanging="350"/>
        <w:spacing w:after="0" w:line="245"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Fixed-Rate Mortgages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Fixed-rate mortgages are those where the borrower pays an interest rate that is constant throughout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term of the loan. Traditionally, most fixed-rate mortgages have an original term of 30 years. However, shorter terms (also referred to as “final maturity dates”) are also common. Because the interest rate on the loan never changes, even when market interest rates change, there can be a divergence between the interest rate on the loan and current market interest rates over time. This in turn can make fixed-rate mortgages price-sensitive to market fluctuations in interest rates. In general, the longer the remaining term on the mortgage loan, the greater the price sensitivity to movements in interest rates and, therefore, the likelihood for greater price variability.</w:t>
      </w:r>
    </w:p>
    <w:p>
      <w:pPr>
        <w:spacing w:after="0" w:line="5" w:lineRule="exact"/>
        <w:rPr>
          <w:rFonts w:ascii="Times New Roman" w:cs="Times New Roman" w:eastAsia="Times New Roman" w:hAnsi="Times New Roman"/>
          <w:sz w:val="20"/>
          <w:szCs w:val="20"/>
          <w:color w:val="auto"/>
        </w:rPr>
      </w:pPr>
    </w:p>
    <w:p>
      <w:pPr>
        <w:ind w:left="720" w:right="20" w:hanging="350"/>
        <w:spacing w:after="0" w:line="242"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ARMs</w:t>
      </w:r>
      <w:r>
        <w:rPr>
          <w:rFonts w:ascii="Times New Roman" w:cs="Times New Roman" w:eastAsia="Times New Roman" w:hAnsi="Times New Roman"/>
          <w:sz w:val="20"/>
          <w:szCs w:val="20"/>
          <w:color w:val="auto"/>
        </w:rPr>
        <w:t>. ARMs are mortgages for which the borrower pays an interest rate that varies over the term of the loan. The interest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rate usually resets based on market interest rates, although the adjustment of such an interest rate may be subject to certain limitations. Traditionally, interest rate resets occur at regular intervals (for example, once per year). We refer to such ARMs as “traditional” ARMs. Because the interest rates on ARMs fluctuate based on market conditions, ARMs tend to have interest rates that do not deviate from current market rates by a large amount. This in turn can mean that ARMs have less price sensitivity to interest rates and, consequently, are less likely to experience significant price volatility.</w:t>
      </w:r>
    </w:p>
    <w:p>
      <w:pPr>
        <w:spacing w:after="0" w:line="202" w:lineRule="exact"/>
        <w:rPr>
          <w:rFonts w:ascii="Times New Roman" w:cs="Times New Roman" w:eastAsia="Times New Roman" w:hAnsi="Times New Roman"/>
          <w:sz w:val="20"/>
          <w:szCs w:val="20"/>
          <w:color w:val="auto"/>
        </w:rPr>
      </w:pPr>
    </w:p>
    <w:p>
      <w:pPr>
        <w:ind w:left="720" w:right="140" w:hanging="350"/>
        <w:spacing w:after="0" w:line="246"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Hybrid Adjustable-Rate Mortgages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Hybrid ARMs have a fixed-rate for the first few years of the loan, often three, five,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seven or ten years, and thereafter reset periodically like a traditional ARM. Effectively, such mortgages are hybrids, combining the features of a pure fixed-rate mortgage and a traditional ARM. Hybrid ARMs have price sensitivity to interest rates similar to that of a fixed-rate mortgage during the period when the interest rate is fixed and similar to that of an ARM when the interest rate is in its periodic reset stage. However, because many hybrid ARMs are structured with a relatively short initial time span during which the interest rate is fixed, even during that segment of its existence, the price sensitivity may be high.</w:t>
      </w:r>
    </w:p>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Collateralized Mortgage Obligation MBS</w:t>
      </w:r>
    </w:p>
    <w:p>
      <w:pPr>
        <w:spacing w:after="0" w:line="228" w:lineRule="exact"/>
        <w:rPr>
          <w:sz w:val="20"/>
          <w:szCs w:val="20"/>
          <w:color w:val="auto"/>
        </w:rPr>
      </w:pPr>
    </w:p>
    <w:p>
      <w:pPr>
        <w:ind w:right="140" w:firstLine="360"/>
        <w:spacing w:after="0" w:line="245" w:lineRule="auto"/>
        <w:rPr>
          <w:sz w:val="20"/>
          <w:szCs w:val="20"/>
          <w:color w:val="auto"/>
        </w:rPr>
      </w:pPr>
      <w:r>
        <w:rPr>
          <w:rFonts w:ascii="Times New Roman" w:cs="Times New Roman" w:eastAsia="Times New Roman" w:hAnsi="Times New Roman"/>
          <w:sz w:val="20"/>
          <w:szCs w:val="20"/>
          <w:color w:val="auto"/>
        </w:rPr>
        <w:t>CMOs are a type of MBS the principal and interest of which are paid, in most cases, on a monthly basis. CMOs may be collateralized by whole mortgage loans, but are more typically collateralized by pools of mortgage PT securities issued directly by or under the auspices of the GSEs. CMOs are structured into multiple classes, with each class bearing a different stated maturity. Monthly payments of principal, including prepayments, are first returned to investors holding the shortest maturity class. Investors holding the longer maturity classes receive principal only after the first class has been retired. Generally, fixed-rate MBS are used to collateralize CMOs. However, the CMO tranches need not all have fixed-rate coupons. Some CMO tranches have floating rate coupons that adjust based on market interest rates, subject to some limitations. Such tranches, often called “CMO floaters,” can have relatively low price sensitivity to interest rates.</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Structured Agency MBS</w:t>
      </w:r>
    </w:p>
    <w:p>
      <w:pPr>
        <w:spacing w:after="0" w:line="228" w:lineRule="exact"/>
        <w:rPr>
          <w:sz w:val="20"/>
          <w:szCs w:val="20"/>
          <w:color w:val="auto"/>
        </w:rPr>
      </w:pPr>
    </w:p>
    <w:p>
      <w:pPr>
        <w:ind w:right="20" w:firstLine="360"/>
        <w:spacing w:after="0" w:line="249" w:lineRule="auto"/>
        <w:rPr>
          <w:sz w:val="20"/>
          <w:szCs w:val="20"/>
          <w:color w:val="auto"/>
        </w:rPr>
      </w:pPr>
      <w:r>
        <w:rPr>
          <w:rFonts w:ascii="Times New Roman" w:cs="Times New Roman" w:eastAsia="Times New Roman" w:hAnsi="Times New Roman"/>
          <w:sz w:val="20"/>
          <w:szCs w:val="20"/>
          <w:color w:val="auto"/>
        </w:rPr>
        <w:t>We also invest in structured Agency MBS, which include CMOs, IOs, IIOs and POs. The payment of principal and interest, to the extent accrued and payable to the security, on structured Agency MBS issued by Ginnie Mae, but not the market value, is guaranteed by the full faith and credit of the federal government. Payment of principal and interest, to the extent accrued and payable to the security, on structured Agency MBS issued by Fannie Mae and Freddie Mac, but not the market value, is guaranteed by the respective agency issuing the security. The types of structured Agency MBS in which we invest are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800"/>
          </w:cols>
          <w:pgMar w:left="720" w:top="785" w:right="720" w:bottom="135" w:gutter="0" w:footer="0" w:header="0"/>
        </w:sectPr>
      </w:pPr>
    </w:p>
    <w:bookmarkStart w:id="10" w:name="page11"/>
    <w:bookmarkEnd w:id="10"/>
    <w:p>
      <w:pPr>
        <w:ind w:left="720" w:right="160" w:hanging="350"/>
        <w:spacing w:after="0" w:line="245"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IOs</w:t>
      </w:r>
      <w:r>
        <w:rPr>
          <w:rFonts w:ascii="Times New Roman" w:cs="Times New Roman" w:eastAsia="Times New Roman" w:hAnsi="Times New Roman"/>
          <w:sz w:val="20"/>
          <w:szCs w:val="20"/>
          <w:color w:val="auto"/>
        </w:rPr>
        <w:t>. IOs represent the stream of interest payments on a pool of mortgages, either fixed-rate mortgages or hybrid ARMs.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Holders of IOs have no claim to any principal payments. The value of IOs depends primarily on two factors, which are prepayments and interest rates. Prepayments on the underlying pool of mortgages reduce the stream of interest payments going forward, hence IOs are highly sensitive to prepayment rates. IOs are also sensitive to changes in interest rates. An increase in interest rates reduces the present value of future interest payments on a pool of mortgages. On the other hand, an increase in interest rates has a tendency to reduce prepayments, which increases the expected absolute amount of future interest payments.</w:t>
      </w:r>
    </w:p>
    <w:p>
      <w:pPr>
        <w:spacing w:after="0" w:line="3"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IIOs</w:t>
      </w:r>
      <w:r>
        <w:rPr>
          <w:rFonts w:ascii="Times New Roman" w:cs="Times New Roman" w:eastAsia="Times New Roman" w:hAnsi="Times New Roman"/>
          <w:sz w:val="20"/>
          <w:szCs w:val="20"/>
          <w:color w:val="auto"/>
        </w:rPr>
        <w:t>. IIOs represent the stream of interest payments on a pool of mortgages that underlie MBS, either fixed-rate mortgages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hybrid ARMs. Holders of IIOs have no claim to any principal payments. The value of IIOs depends primarily on three factors, which are prepayments, coupon interest rate (i.e. “SOFR”), and term interest rates. Prepayments on the underlying pool of mortgages reduce the stream of interest payments, making IIOs highly sensitive to prepayment rates. The coupon on IIOs is derived from both the coupon interest rate on the underlying pool of mortgages and 30-day SOFR. IIOs are typically created in conjunction with a floating rate CMO that has a principal balance and which is entitled to receive all of the principal payments on the underlying pool of mortgages. The coupon on the floating rate CMO is also based on 30-day SOFR. Typically, the coupon on the floating rate CMO and the IIO, when combined, equal the coupon on the pool of underlying mortgages. The coupon on the pool of underlying mortgages typically represents a cap or ceiling on the combined coupons of the floating rate CMO and the IIO. Accordingly, when the value of 30-day SOFR increases, the coupon of the floating rate CMO will increase and the coupon on the IIO will decrease. When the value of 30-day SOFR falls, the opposite is true. Accordingly, the value of IIOs are sensitive to the level of 30-day SOFR and expectations by market participants of future movements in the level of 30-day SOFR. IIOs are also sensitive to changes in interest rates. An increase in interest rates reduces the present value of future interest payments on a pool of mortgages. On the other hand, an increase in interest rates has a tendency to reduce prepayments, which increases the expected absolute amount of future interest payments.</w:t>
      </w:r>
    </w:p>
    <w:p>
      <w:pPr>
        <w:spacing w:after="0" w:line="9" w:lineRule="exact"/>
        <w:rPr>
          <w:rFonts w:ascii="Times New Roman" w:cs="Times New Roman" w:eastAsia="Times New Roman" w:hAnsi="Times New Roman"/>
          <w:sz w:val="20"/>
          <w:szCs w:val="20"/>
          <w:color w:val="auto"/>
        </w:rPr>
      </w:pPr>
    </w:p>
    <w:p>
      <w:pPr>
        <w:ind w:left="720" w:right="20" w:hanging="350"/>
        <w:spacing w:after="0" w:line="241"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POs</w:t>
      </w:r>
      <w:r>
        <w:rPr>
          <w:rFonts w:ascii="Times New Roman" w:cs="Times New Roman" w:eastAsia="Times New Roman" w:hAnsi="Times New Roman"/>
          <w:sz w:val="20"/>
          <w:szCs w:val="20"/>
          <w:color w:val="auto"/>
        </w:rPr>
        <w:t>. POs represent the stream of principal payments on a pool of mortgages. Holders of POs have no claim to any interest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payments, although the ultimate amount of principal to be received over time is known, equaling the principal balance of the underlying pool of mortgages. The timing of the receipt of the principal payments is not known. The value of POs depends primarily on two factors, which are prepayments and interest rates. Prepayments on the underlying pool of mortgages accelerate the stream of principal repayments, making POs highly sensitive to the rate at which the mortgages in the pool are prepaid. POs are also sensitive to changes in interest rates. An increase in interest rates reduces the present value of future principal payments on a pool of mortgages. Further, an increase in interest rates has a tendency to reduce prepayments, which decelerates, or pushes further out in time, the ultimate receipt of the principal payments. The opposite is true when interest rates decline.</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Mortgage REIT Common Stock</w:t>
      </w:r>
    </w:p>
    <w:p>
      <w:pPr>
        <w:spacing w:after="0" w:line="228" w:lineRule="exact"/>
        <w:rPr>
          <w:sz w:val="20"/>
          <w:szCs w:val="20"/>
          <w:color w:val="auto"/>
        </w:rPr>
      </w:pPr>
    </w:p>
    <w:p>
      <w:pPr>
        <w:ind w:right="180" w:firstLine="360"/>
        <w:spacing w:after="0" w:line="252" w:lineRule="auto"/>
        <w:rPr>
          <w:sz w:val="20"/>
          <w:szCs w:val="20"/>
          <w:color w:val="auto"/>
        </w:rPr>
      </w:pPr>
      <w:r>
        <w:rPr>
          <w:rFonts w:ascii="Times New Roman" w:cs="Times New Roman" w:eastAsia="Times New Roman" w:hAnsi="Times New Roman"/>
          <w:sz w:val="20"/>
          <w:szCs w:val="20"/>
          <w:color w:val="auto"/>
        </w:rPr>
        <w:t>We also maintain an investment in the common stock of Orchid. Because Orchid is a mortgage REIT that invests primarily in assets similar to those in which the Company invests, we consider this investment as a proxy for our overall investment strategy. We do not currently invest in other REIT common stock, but subject to certain limitations we are not prohibited from doing so in the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Financing Strategy</w:t>
      </w:r>
    </w:p>
    <w:p>
      <w:pPr>
        <w:spacing w:after="0" w:line="228" w:lineRule="exact"/>
        <w:rPr>
          <w:sz w:val="20"/>
          <w:szCs w:val="20"/>
          <w:color w:val="auto"/>
        </w:rPr>
      </w:pPr>
    </w:p>
    <w:p>
      <w:pPr>
        <w:ind w:right="40" w:firstLine="360"/>
        <w:spacing w:after="0" w:line="243" w:lineRule="auto"/>
        <w:rPr>
          <w:sz w:val="20"/>
          <w:szCs w:val="20"/>
          <w:color w:val="auto"/>
        </w:rPr>
      </w:pPr>
      <w:r>
        <w:rPr>
          <w:rFonts w:ascii="Times New Roman" w:cs="Times New Roman" w:eastAsia="Times New Roman" w:hAnsi="Times New Roman"/>
          <w:sz w:val="20"/>
          <w:szCs w:val="20"/>
          <w:color w:val="auto"/>
        </w:rPr>
        <w:t>We borrow against our PT Agency MBS and certain of our structured Agency MBS using short-term repurchase agreements. A repurchase agreement (or "repo") transaction acts as a financing arrangement under which we effectively pledge our investment securities as collateral to secure a loan. Our borrowings through repo transactions are generally short-term and have maturities ranging from one day to one year but may have maturities up to five or more years. Our financing rates are typically impacted by the U.S. Federal Funds rate and other short-term benchmark rates and liquidity in the Agency MBS repo and other short-term funding markets. The terms of our master repo agreements generally conform to the terms in the standard master repurchase agreement as published by the Securities Industry and Financial Markets Association ("SIFMA") as to repayment, margin requirements and the segregation of all securities sold under the repurchase transaction. In addition, each lender may require that we include supplemental terms and conditions to the standard master repurchase agreement to address such matters as additional margin maintenance requirements, cross default and other provisions. The specific provisions may differ for each lender and certain terms may not be determined until we engage in individual repo transactions.</w:t>
      </w:r>
    </w:p>
    <w:p>
      <w:pPr>
        <w:spacing w:after="0" w:line="199" w:lineRule="exact"/>
        <w:rPr>
          <w:sz w:val="20"/>
          <w:szCs w:val="20"/>
          <w:color w:val="auto"/>
        </w:rPr>
      </w:pPr>
    </w:p>
    <w:p>
      <w:pPr>
        <w:ind w:right="40" w:firstLine="360"/>
        <w:spacing w:after="0" w:line="252" w:lineRule="auto"/>
        <w:rPr>
          <w:sz w:val="20"/>
          <w:szCs w:val="20"/>
          <w:color w:val="auto"/>
        </w:rPr>
      </w:pPr>
      <w:r>
        <w:rPr>
          <w:rFonts w:ascii="Times New Roman" w:cs="Times New Roman" w:eastAsia="Times New Roman" w:hAnsi="Times New Roman"/>
          <w:sz w:val="20"/>
          <w:szCs w:val="20"/>
          <w:color w:val="auto"/>
        </w:rPr>
        <w:t>We may use other sources of leverage, such as secured or unsecured debt or issuances of preferred stock. We do not have a policy limiting the amount of leverage we may incur. However, we generally expect that the ratio of our total liabilities compared to our equity, which we refer to as our leverage ratio, will not exceed 12 to 1 and will generally be less than 10 to 1. Our amount of leverage may vary depending on market conditions and other factors that we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800"/>
          </w:cols>
          <w:pgMar w:left="720" w:top="790" w:right="720" w:bottom="135" w:gutter="0" w:footer="0" w:header="0"/>
        </w:sectPr>
      </w:pPr>
    </w:p>
    <w:bookmarkStart w:id="11" w:name="page12"/>
    <w:bookmarkEnd w:id="11"/>
    <w:p>
      <w:pPr>
        <w:ind w:right="80" w:firstLine="360"/>
        <w:spacing w:after="0" w:line="259" w:lineRule="auto"/>
        <w:rPr>
          <w:sz w:val="20"/>
          <w:szCs w:val="20"/>
          <w:color w:val="auto"/>
        </w:rPr>
      </w:pPr>
      <w:r>
        <w:rPr>
          <w:rFonts w:ascii="Times New Roman" w:cs="Times New Roman" w:eastAsia="Times New Roman" w:hAnsi="Times New Roman"/>
          <w:sz w:val="20"/>
          <w:szCs w:val="20"/>
          <w:color w:val="auto"/>
        </w:rPr>
        <w:t>The PT Agency MBS portfolio is leveraged generally through repurchase agreement funding. The structured Agency MBS portfolio generally is not leveraged. The leverage ratio is calculated by dividing our total liabilities by total stockholders’ equity at the end of each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w:t>
      </w:r>
    </w:p>
    <w:p>
      <w:pPr>
        <w:spacing w:after="0" w:line="234" w:lineRule="exact"/>
        <w:rPr>
          <w:sz w:val="20"/>
          <w:szCs w:val="20"/>
          <w:color w:val="auto"/>
        </w:rPr>
      </w:pPr>
    </w:p>
    <w:p>
      <w:pPr>
        <w:ind w:right="380" w:firstLine="360"/>
        <w:spacing w:after="0" w:line="278" w:lineRule="auto"/>
        <w:rPr>
          <w:sz w:val="20"/>
          <w:szCs w:val="20"/>
          <w:color w:val="auto"/>
        </w:rPr>
      </w:pPr>
      <w:r>
        <w:rPr>
          <w:rFonts w:ascii="Times New Roman" w:cs="Times New Roman" w:eastAsia="Times New Roman" w:hAnsi="Times New Roman"/>
          <w:sz w:val="20"/>
          <w:szCs w:val="20"/>
          <w:color w:val="auto"/>
        </w:rPr>
        <w:t>We invest in Agency MBS and Orchid common stock to mitigate credit risk. Additionally, our and Orchid's Agency MBS are backed by a diversified base of mortgage loans to mitigate geographic, loan originator and other types of concentration risks.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Rate Risk Management</w:t>
      </w:r>
    </w:p>
    <w:p>
      <w:pPr>
        <w:spacing w:after="0" w:line="228" w:lineRule="exact"/>
        <w:rPr>
          <w:sz w:val="20"/>
          <w:szCs w:val="20"/>
          <w:color w:val="auto"/>
        </w:rPr>
      </w:pPr>
    </w:p>
    <w:p>
      <w:pPr>
        <w:ind w:right="140" w:firstLine="360"/>
        <w:spacing w:after="0" w:line="249" w:lineRule="auto"/>
        <w:rPr>
          <w:sz w:val="20"/>
          <w:szCs w:val="20"/>
          <w:color w:val="auto"/>
        </w:rPr>
      </w:pPr>
      <w:r>
        <w:rPr>
          <w:rFonts w:ascii="Times New Roman" w:cs="Times New Roman" w:eastAsia="Times New Roman" w:hAnsi="Times New Roman"/>
          <w:sz w:val="20"/>
          <w:szCs w:val="20"/>
          <w:color w:val="auto"/>
        </w:rPr>
        <w:t>We believe that the risk of adverse interest rate movements represents the most significant risk to the value of our portfolio. This risk arises because (i) the interest rate indices used to calculate the interest rates on the mortgages underlying our assets may be different from the interest rate indices used to calculate the interest rates on the related borrowings, and (ii) interest rate movements affecting our borrowings may not be reasonably correlated with interest rate movements affecting our assets. We attempt to mitigate our interest rate risk by using the techniques described below:</w:t>
      </w:r>
    </w:p>
    <w:p>
      <w:pPr>
        <w:spacing w:after="0" w:line="187" w:lineRule="exact"/>
        <w:rPr>
          <w:sz w:val="20"/>
          <w:szCs w:val="20"/>
          <w:color w:val="auto"/>
        </w:rPr>
      </w:pPr>
    </w:p>
    <w:p>
      <w:pPr>
        <w:ind w:right="120" w:firstLine="360"/>
        <w:spacing w:after="0" w:line="247" w:lineRule="auto"/>
        <w:rPr>
          <w:sz w:val="20"/>
          <w:szCs w:val="20"/>
          <w:color w:val="auto"/>
        </w:rPr>
      </w:pPr>
      <w:r>
        <w:rPr>
          <w:rFonts w:ascii="Times New Roman" w:cs="Times New Roman" w:eastAsia="Times New Roman" w:hAnsi="Times New Roman"/>
          <w:sz w:val="20"/>
          <w:szCs w:val="20"/>
          <w:i w:val="1"/>
          <w:iCs w:val="1"/>
          <w:color w:val="auto"/>
        </w:rPr>
        <w:t>Agency MBS Backed by ARMs</w:t>
      </w:r>
      <w:r>
        <w:rPr>
          <w:rFonts w:ascii="Times New Roman" w:cs="Times New Roman" w:eastAsia="Times New Roman" w:hAnsi="Times New Roman"/>
          <w:sz w:val="20"/>
          <w:szCs w:val="20"/>
          <w:color w:val="auto"/>
        </w:rPr>
        <w:t>. We seek to minimize the differences between interest rate indices and interest rate adjustment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periods of our Agency MBS backed by ARMs and related borrowings. At the time of funding, we typically align (i) the underlying interest rate index used to calculate interest rates for our Agency MBS backed by ARMs and the related borrowings and (ii) the interest rate adjustment periods for our Agency MBS backed by ARMs and the interest rate adjustment periods for our related borrowings. As our borrowings mature or are renewed, we may adjust the index used to calculate interest expense, the duration of the reset periods and the maturities of our borrowings.</w:t>
      </w:r>
    </w:p>
    <w:p>
      <w:pPr>
        <w:spacing w:after="0" w:line="191" w:lineRule="exact"/>
        <w:rPr>
          <w:sz w:val="20"/>
          <w:szCs w:val="20"/>
          <w:color w:val="auto"/>
        </w:rPr>
      </w:pPr>
    </w:p>
    <w:p>
      <w:pPr>
        <w:ind w:right="120" w:firstLine="360"/>
        <w:spacing w:after="0" w:line="252" w:lineRule="auto"/>
        <w:rPr>
          <w:sz w:val="20"/>
          <w:szCs w:val="20"/>
          <w:color w:val="auto"/>
        </w:rPr>
      </w:pPr>
      <w:r>
        <w:rPr>
          <w:rFonts w:ascii="Times New Roman" w:cs="Times New Roman" w:eastAsia="Times New Roman" w:hAnsi="Times New Roman"/>
          <w:sz w:val="20"/>
          <w:szCs w:val="20"/>
          <w:i w:val="1"/>
          <w:iCs w:val="1"/>
          <w:color w:val="auto"/>
        </w:rPr>
        <w:t>Agency MBS Backed by Fixed-Rate Mortgages</w:t>
      </w:r>
      <w:r>
        <w:rPr>
          <w:rFonts w:ascii="Times New Roman" w:cs="Times New Roman" w:eastAsia="Times New Roman" w:hAnsi="Times New Roman"/>
          <w:sz w:val="20"/>
          <w:szCs w:val="20"/>
          <w:color w:val="auto"/>
        </w:rPr>
        <w:t>. As interest rates rise, our borrowing costs increase; however, the income on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Agency MBS backed by fixed-rate mortgages remains unchanged. We may seek to limit increases to our borrowing costs through the use of interest rate swap or cap agreements, options, put or call agreements, futures contracts, forward rate agreements or similar financial instruments to economically convert our floating-rate borrowings into fixed-rate borrowings.</w:t>
      </w:r>
    </w:p>
    <w:p>
      <w:pPr>
        <w:spacing w:after="0" w:line="184" w:lineRule="exact"/>
        <w:rPr>
          <w:sz w:val="20"/>
          <w:szCs w:val="20"/>
          <w:color w:val="auto"/>
        </w:rPr>
      </w:pPr>
    </w:p>
    <w:p>
      <w:pPr>
        <w:ind w:right="120" w:firstLine="360"/>
        <w:spacing w:after="0" w:line="252" w:lineRule="auto"/>
        <w:rPr>
          <w:sz w:val="20"/>
          <w:szCs w:val="20"/>
          <w:color w:val="auto"/>
        </w:rPr>
      </w:pPr>
      <w:r>
        <w:rPr>
          <w:rFonts w:ascii="Times New Roman" w:cs="Times New Roman" w:eastAsia="Times New Roman" w:hAnsi="Times New Roman"/>
          <w:sz w:val="20"/>
          <w:szCs w:val="20"/>
          <w:i w:val="1"/>
          <w:iCs w:val="1"/>
          <w:color w:val="auto"/>
        </w:rPr>
        <w:t>Agency MBS Backed by Hybrid ARMs</w:t>
      </w:r>
      <w:r>
        <w:rPr>
          <w:rFonts w:ascii="Times New Roman" w:cs="Times New Roman" w:eastAsia="Times New Roman" w:hAnsi="Times New Roman"/>
          <w:sz w:val="20"/>
          <w:szCs w:val="20"/>
          <w:color w:val="auto"/>
        </w:rPr>
        <w:t>. During the fixed-rate period of our Agency MBS backed by hybrid ARMs, the security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similar to Agency MBS backed by fixed-rate mortgages. During this period, we may employ the same hedging strategy that we employ for our Agency MBS backed by fixed-rate mortgages. Once our Agency MBS backed by hybrid ARMs convert to floating rate securities, we may employ the same hedging strategy as we employ for our Agency MBS backed by ARMs.</w:t>
      </w:r>
    </w:p>
    <w:p>
      <w:pPr>
        <w:spacing w:after="0" w:line="184"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Derivative Instruments. </w:t>
      </w:r>
      <w:r>
        <w:rPr>
          <w:rFonts w:ascii="Times New Roman" w:cs="Times New Roman" w:eastAsia="Times New Roman" w:hAnsi="Times New Roman"/>
          <w:sz w:val="20"/>
          <w:szCs w:val="20"/>
          <w:color w:val="auto"/>
        </w:rPr>
        <w:t>We may enter into derivative instruments to economically hedge against the possibility that rising rates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may adversely impact the cost of our repurchase agreement liabilities. The principal instruments that the Company has used to date are federal funds ("Fed Funds"), SOFR and Treasury Note (“T- Note”) futures contracts and options to enter into interest rate swaps (“interest rate swaptions”) and TBA securities transactions, but we may enter into other derivatives in the future.</w:t>
      </w:r>
    </w:p>
    <w:p>
      <w:pPr>
        <w:spacing w:after="0" w:line="185" w:lineRule="exact"/>
        <w:rPr>
          <w:sz w:val="20"/>
          <w:szCs w:val="20"/>
          <w:color w:val="auto"/>
        </w:rPr>
      </w:pPr>
    </w:p>
    <w:p>
      <w:pPr>
        <w:ind w:right="300" w:firstLine="360"/>
        <w:spacing w:after="0" w:line="252" w:lineRule="auto"/>
        <w:rPr>
          <w:sz w:val="20"/>
          <w:szCs w:val="20"/>
          <w:color w:val="auto"/>
        </w:rPr>
      </w:pPr>
      <w:r>
        <w:rPr>
          <w:rFonts w:ascii="Times New Roman" w:cs="Times New Roman" w:eastAsia="Times New Roman" w:hAnsi="Times New Roman"/>
          <w:sz w:val="20"/>
          <w:szCs w:val="20"/>
          <w:color w:val="auto"/>
        </w:rPr>
        <w:t>A futures contract is a legally binding agreement to buy or sell a financial instrument in a designated future month at a price agreed upon at the initiation of the contract by the buyer and seller. A futures contract differs from an option in that an option gives one of the counterparties a right, but not the obligation, to buy or sell, while a futures contract represents an obligation of both counterparties to buy or sell a financial instrument at a specified price.</w:t>
      </w:r>
    </w:p>
    <w:p>
      <w:pPr>
        <w:spacing w:after="0" w:line="184" w:lineRule="exact"/>
        <w:rPr>
          <w:sz w:val="20"/>
          <w:szCs w:val="20"/>
          <w:color w:val="auto"/>
        </w:rPr>
      </w:pPr>
    </w:p>
    <w:p>
      <w:pPr>
        <w:ind w:right="120" w:firstLine="360"/>
        <w:spacing w:after="0" w:line="252" w:lineRule="auto"/>
        <w:rPr>
          <w:sz w:val="20"/>
          <w:szCs w:val="20"/>
          <w:color w:val="auto"/>
        </w:rPr>
      </w:pPr>
      <w:r>
        <w:rPr>
          <w:rFonts w:ascii="Times New Roman" w:cs="Times New Roman" w:eastAsia="Times New Roman" w:hAnsi="Times New Roman"/>
          <w:sz w:val="20"/>
          <w:szCs w:val="20"/>
          <w:color w:val="auto"/>
        </w:rPr>
        <w:t>Interest rate swaptions provide us the option to enter into an interest rate swap agreement for a predetermined notional amount, stated term and pay and receive interest rates in the future. We may enter into swaption agreements that provide us the option to enter into a pay fixed rate interest rate swap, or swaption agreements that provide us the option to enter into a receive fixed interest rate swap.</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Additionally, our structured Agency MBS generally exhibit sensitivities to movements in interest rates different than our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PT Agency MBS. To the extent they do so, our structured Agency MBS may protect us against declines in the market value of our</w:t>
      </w:r>
    </w:p>
    <w:p>
      <w:pPr>
        <w:spacing w:after="0"/>
        <w:rPr>
          <w:sz w:val="20"/>
          <w:szCs w:val="20"/>
          <w:color w:val="auto"/>
        </w:rPr>
      </w:pPr>
      <w:r>
        <w:rPr>
          <w:rFonts w:ascii="Times New Roman" w:cs="Times New Roman" w:eastAsia="Times New Roman" w:hAnsi="Times New Roman"/>
          <w:sz w:val="20"/>
          <w:szCs w:val="20"/>
          <w:color w:val="auto"/>
        </w:rPr>
        <w:t>combined portfolio that result from adverse interest rate movements, although we cannot assure you that this will be the case.</w:t>
      </w:r>
    </w:p>
    <w:p>
      <w:pPr>
        <w:spacing w:after="0" w:line="203" w:lineRule="exact"/>
        <w:rPr>
          <w:sz w:val="20"/>
          <w:szCs w:val="20"/>
          <w:color w:val="auto"/>
        </w:rPr>
      </w:pPr>
    </w:p>
    <w:p>
      <w:pPr>
        <w:ind w:right="640" w:firstLine="360"/>
        <w:spacing w:after="0" w:line="277" w:lineRule="auto"/>
        <w:rPr>
          <w:sz w:val="20"/>
          <w:szCs w:val="20"/>
          <w:color w:val="auto"/>
        </w:rPr>
      </w:pPr>
      <w:r>
        <w:rPr>
          <w:rFonts w:ascii="Times New Roman" w:cs="Times New Roman" w:eastAsia="Times New Roman" w:hAnsi="Times New Roman"/>
          <w:sz w:val="20"/>
          <w:szCs w:val="20"/>
          <w:color w:val="auto"/>
        </w:rPr>
        <w:t>We account for TBA securities as derivative instruments. Gains and losses associated with TBA securities transactions are reported in gain (loss) on derivative instruments in the accompanying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800"/>
          </w:cols>
          <w:pgMar w:left="720" w:top="785" w:right="720" w:bottom="135"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i w:val="1"/>
          <w:iCs w:val="1"/>
          <w:color w:val="auto"/>
        </w:rPr>
        <w:t>Prepayment Risk Management</w:t>
      </w:r>
    </w:p>
    <w:p>
      <w:pPr>
        <w:spacing w:after="0" w:line="229" w:lineRule="exact"/>
        <w:rPr>
          <w:sz w:val="20"/>
          <w:szCs w:val="20"/>
          <w:color w:val="auto"/>
        </w:rPr>
      </w:pPr>
    </w:p>
    <w:p>
      <w:pPr>
        <w:jc w:val="both"/>
        <w:ind w:right="20" w:firstLine="360"/>
        <w:spacing w:after="0" w:line="258" w:lineRule="auto"/>
        <w:rPr>
          <w:sz w:val="20"/>
          <w:szCs w:val="20"/>
          <w:color w:val="auto"/>
        </w:rPr>
      </w:pPr>
      <w:r>
        <w:rPr>
          <w:rFonts w:ascii="Times New Roman" w:cs="Times New Roman" w:eastAsia="Times New Roman" w:hAnsi="Times New Roman"/>
          <w:sz w:val="20"/>
          <w:szCs w:val="20"/>
          <w:color w:val="auto"/>
        </w:rPr>
        <w:t>The risk of mortgage prepayments is another significant risk to our portfolio. When prevailing interest rates fall below the coupon rate of a mortgage, mortgage prepayments are likely to increase. Conversely, when prevailing interest rates increase above the coupon rate of a mortgage, mortgage prepayments are likely to decrease.</w:t>
      </w:r>
    </w:p>
    <w:p>
      <w:pPr>
        <w:spacing w:after="0" w:line="178" w:lineRule="exact"/>
        <w:rPr>
          <w:sz w:val="20"/>
          <w:szCs w:val="20"/>
          <w:color w:val="auto"/>
        </w:rPr>
      </w:pPr>
    </w:p>
    <w:p>
      <w:pPr>
        <w:jc w:val="both"/>
        <w:ind w:right="180" w:firstLine="360"/>
        <w:spacing w:after="0" w:line="252" w:lineRule="auto"/>
        <w:rPr>
          <w:sz w:val="20"/>
          <w:szCs w:val="20"/>
          <w:color w:val="auto"/>
        </w:rPr>
      </w:pPr>
      <w:r>
        <w:rPr>
          <w:rFonts w:ascii="Times New Roman" w:cs="Times New Roman" w:eastAsia="Times New Roman" w:hAnsi="Times New Roman"/>
          <w:sz w:val="20"/>
          <w:szCs w:val="20"/>
          <w:color w:val="auto"/>
        </w:rPr>
        <w:t>When prepayment rates increase, we may not be able to reinvest the money received from prepayments at yields comparable to those of the securities prepaid. Additionally, some of our structured Agency MBS, such as IOs and IIOs, may be negatively affected by an increase in prepayment rates because their value is wholly contingent on the underlying mortgage loans having an outstanding principal balance.</w:t>
      </w:r>
    </w:p>
    <w:p>
      <w:pPr>
        <w:spacing w:after="0" w:line="184" w:lineRule="exact"/>
        <w:rPr>
          <w:sz w:val="20"/>
          <w:szCs w:val="20"/>
          <w:color w:val="auto"/>
        </w:rPr>
      </w:pPr>
    </w:p>
    <w:p>
      <w:pPr>
        <w:ind w:right="160" w:firstLine="360"/>
        <w:spacing w:after="0" w:line="252" w:lineRule="auto"/>
        <w:rPr>
          <w:sz w:val="20"/>
          <w:szCs w:val="20"/>
          <w:color w:val="auto"/>
        </w:rPr>
      </w:pPr>
      <w:r>
        <w:rPr>
          <w:rFonts w:ascii="Times New Roman" w:cs="Times New Roman" w:eastAsia="Times New Roman" w:hAnsi="Times New Roman"/>
          <w:sz w:val="20"/>
          <w:szCs w:val="20"/>
          <w:color w:val="auto"/>
        </w:rPr>
        <w:t>A decrease in prepayment rates may also have an adverse effect on our portfolio. For example, if we invest in POs, the purchase price of such securities will be based, in part, on an assumed level of prepayments on the underlying mortgage loan. Because the returns on POs decrease the longer it takes the principal payments on the underlying loans to be paid, a decrease in prepayment rates could decrease our returns on these securities.</w:t>
      </w:r>
    </w:p>
    <w:p>
      <w:pPr>
        <w:spacing w:after="0" w:line="185" w:lineRule="exact"/>
        <w:rPr>
          <w:sz w:val="20"/>
          <w:szCs w:val="20"/>
          <w:color w:val="auto"/>
        </w:rPr>
      </w:pPr>
    </w:p>
    <w:p>
      <w:pPr>
        <w:ind w:right="140" w:firstLine="360"/>
        <w:spacing w:after="0" w:line="252" w:lineRule="auto"/>
        <w:rPr>
          <w:sz w:val="20"/>
          <w:szCs w:val="20"/>
          <w:color w:val="auto"/>
        </w:rPr>
      </w:pPr>
      <w:r>
        <w:rPr>
          <w:rFonts w:ascii="Times New Roman" w:cs="Times New Roman" w:eastAsia="Times New Roman" w:hAnsi="Times New Roman"/>
          <w:sz w:val="20"/>
          <w:szCs w:val="20"/>
          <w:i w:val="1"/>
          <w:iCs w:val="1"/>
          <w:color w:val="auto"/>
        </w:rPr>
        <w:t>Prepayment risk also affects our hedging activities</w:t>
      </w:r>
      <w:r>
        <w:rPr>
          <w:rFonts w:ascii="Times New Roman" w:cs="Times New Roman" w:eastAsia="Times New Roman" w:hAnsi="Times New Roman"/>
          <w:sz w:val="20"/>
          <w:szCs w:val="20"/>
          <w:color w:val="auto"/>
        </w:rPr>
        <w:t>. When an Agency MBS backed by a fixed-rate mortgage or hybrid ARM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acquired with borrowings, we may cap or fix our borrowing costs for a period close to the anticipated average life of the fixed-rate portion of the related Agency MBS. If prepayment rates are different than our projections, the term of the related hedging instrument may not match the fixed-rate portion of the security, which could cause us to incur losses.</w:t>
      </w:r>
    </w:p>
    <w:p>
      <w:pPr>
        <w:spacing w:after="0" w:line="184" w:lineRule="exact"/>
        <w:rPr>
          <w:sz w:val="20"/>
          <w:szCs w:val="20"/>
          <w:color w:val="auto"/>
        </w:rPr>
      </w:pPr>
    </w:p>
    <w:p>
      <w:pPr>
        <w:ind w:right="40" w:firstLine="360"/>
        <w:spacing w:after="0" w:line="243" w:lineRule="auto"/>
        <w:rPr>
          <w:sz w:val="20"/>
          <w:szCs w:val="20"/>
          <w:color w:val="auto"/>
        </w:rPr>
      </w:pPr>
      <w:r>
        <w:rPr>
          <w:rFonts w:ascii="Times New Roman" w:cs="Times New Roman" w:eastAsia="Times New Roman" w:hAnsi="Times New Roman"/>
          <w:sz w:val="20"/>
          <w:szCs w:val="20"/>
          <w:color w:val="auto"/>
        </w:rPr>
        <w:t>Because our business may be adversely affected if prepayment rates are different than our projections, we seek to invest in specified pools of Agency MBS backed by mortgages with well-documented and predictable prepayment histories. To protect against increases in prepayment rates, we invest in Agency MBS backed by mortgages that we believe are less likely to be prepaid. For example, we invest in Agency MBS backed by mortgages (i) with loan balances low enough such that a borrower would likely have little incentive to refinance, (ii) extended to borrowers with credit histories weak enough to not be eligible to refinance their mortgage loans, (iii) that are newly originated fixed-rate or hybrid ARMs or (iv) that have interest rates low enough such that a borrower would likely have little incentive to refinance. To protect against decreases in prepayment rates, we may also invest in specified pools of Agency MBS backed by mortgages with characteristics opposite to those described above, which would typically be more likely to be refinanced. We may also invest in certain types of structured Agency MBS as a means of mitigating our portfolio-wide prepayment risks. For example, certain tranches of CMOs are less sensitive to increases in prepayment rates, and we may invest in those tranches as a means of hedging against increases in prepayment rates.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Management Strategy</w:t>
      </w:r>
    </w:p>
    <w:p>
      <w:pPr>
        <w:spacing w:after="0" w:line="234"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Because of our use of leverage, we manage liquidity to meet our lenders’ margin calls by maintaining cash balances or unencumbered assets well in excess of anticipated margin calls; and by making margin calls on our lenders when we have an excess of collateral pledged against our borrowings.</w:t>
      </w: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also attempt to minimize the number of margin calls we receive by:</w:t>
      </w:r>
    </w:p>
    <w:p>
      <w:pPr>
        <w:spacing w:after="0" w:line="232" w:lineRule="exact"/>
        <w:rPr>
          <w:sz w:val="20"/>
          <w:szCs w:val="20"/>
          <w:color w:val="auto"/>
        </w:rPr>
      </w:pPr>
    </w:p>
    <w:p>
      <w:pPr>
        <w:ind w:left="720" w:hanging="35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deploying capital from our leveraged Agency MBS portfolio to our unleveraged Agency MBS portfolio;</w:t>
      </w:r>
    </w:p>
    <w:p>
      <w:pPr>
        <w:spacing w:after="0" w:line="36" w:lineRule="exact"/>
        <w:rPr>
          <w:rFonts w:ascii="Times New Roman" w:cs="Times New Roman" w:eastAsia="Times New Roman" w:hAnsi="Times New Roman"/>
          <w:sz w:val="20"/>
          <w:szCs w:val="20"/>
          <w:color w:val="auto"/>
        </w:rPr>
      </w:pPr>
    </w:p>
    <w:p>
      <w:pPr>
        <w:ind w:left="720" w:right="100" w:hanging="350"/>
        <w:spacing w:after="0" w:line="242"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investing in Agency MBS backed by mortgages that we believe are less likely to be prepaid to decrease the risk of excessive margin calls when monthly prepayments are announced. Prepayments are declared, and the market value of the related security declines, before the receipt of the related cash flows. Prepayment declarations give rise to a temporary collateral deficiency and generally result in margin calls by lenders;</w:t>
      </w:r>
    </w:p>
    <w:p>
      <w:pPr>
        <w:spacing w:after="0" w:line="2"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investing in Orchid common stock, and, potentially, other REIT common stock; and</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reducing our overall amount of leverage.</w:t>
      </w:r>
    </w:p>
    <w:p>
      <w:pPr>
        <w:spacing w:after="0" w:line="209"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20"/>
          <w:szCs w:val="20"/>
          <w:color w:val="auto"/>
        </w:rPr>
        <w:t>To the extent we are unable to adequately manage our interest rate exposure and are subjected to substantial margin calls, we may be forced to sell assets at an inopportune time which in turn could impair our liquidity and reduce our borrowing capacity and book value. We did not experience significant margin call activity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780"/>
          </w:cols>
          <w:pgMar w:left="720" w:top="787" w:right="740" w:bottom="135"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color w:val="auto"/>
        </w:rPr>
        <w:t>Investment Company Act Exemption</w:t>
      </w:r>
    </w:p>
    <w:p>
      <w:pPr>
        <w:spacing w:after="0" w:line="235" w:lineRule="exact"/>
        <w:rPr>
          <w:sz w:val="20"/>
          <w:szCs w:val="20"/>
          <w:color w:val="auto"/>
        </w:rPr>
      </w:pPr>
    </w:p>
    <w:p>
      <w:pPr>
        <w:ind w:right="20" w:firstLine="360"/>
        <w:spacing w:after="0" w:line="245" w:lineRule="auto"/>
        <w:rPr>
          <w:sz w:val="20"/>
          <w:szCs w:val="20"/>
          <w:color w:val="auto"/>
        </w:rPr>
      </w:pPr>
      <w:r>
        <w:rPr>
          <w:rFonts w:ascii="Times New Roman" w:cs="Times New Roman" w:eastAsia="Times New Roman" w:hAnsi="Times New Roman"/>
          <w:sz w:val="20"/>
          <w:szCs w:val="20"/>
          <w:color w:val="auto"/>
        </w:rPr>
        <w:t>We operate our business so that we are exempt from registration under the Investment Company Act. We rely on the exemption provided by Section 3(c)(5)(C) of the Investment Company Act, which applies to companies in the business of purchasing or otherwise acquiring mortgages and other liens on, and interests in, real estate. In order to rely on the exemption provided by Section 3(c)(5)(C), we must maintain at least 55% of our assets in qualifying real estate assets. For the purposes of this test, structured Agency MBS are non-qualifying real estate assets. We monitor our portfolio periodically and prior to each investment to confirm that we continue to qualify for the exemption. To qualify for the exemption, we make investments so that at least 55% of the assets we own consist of qualifying mortgages and other liens on and interests in real estate, which we refer to as qualifying real estate assets, and so that at least 80% of the assets we own consist of real estate-related assets, including our qualifying real estate assets.</w:t>
      </w:r>
    </w:p>
    <w:p>
      <w:pPr>
        <w:spacing w:after="0" w:line="191" w:lineRule="exact"/>
        <w:rPr>
          <w:sz w:val="20"/>
          <w:szCs w:val="20"/>
          <w:color w:val="auto"/>
        </w:rPr>
      </w:pPr>
    </w:p>
    <w:p>
      <w:pPr>
        <w:ind w:right="100" w:firstLine="360"/>
        <w:spacing w:after="0" w:line="246" w:lineRule="auto"/>
        <w:rPr>
          <w:sz w:val="20"/>
          <w:szCs w:val="20"/>
          <w:color w:val="auto"/>
        </w:rPr>
      </w:pPr>
      <w:r>
        <w:rPr>
          <w:rFonts w:ascii="Times New Roman" w:cs="Times New Roman" w:eastAsia="Times New Roman" w:hAnsi="Times New Roman"/>
          <w:sz w:val="20"/>
          <w:szCs w:val="20"/>
          <w:color w:val="auto"/>
        </w:rPr>
        <w:t>We treat whole-pool PT Agency MBS as qualifying real estate assets based on no-action letters issued by the staff of the SEC. In August 2011, the SEC, through a concept release, requested comments on interpretations of Section 3(c)(5)(C). To the extent that the SEC or its staff publishes new or different guidance with respect to these matters, we may fail to qualify for this exemption. We manage our PT Agency MBS portfolio such that we have sufficient whole-pool PT Agency MBS to ensure we maintain our exemption from registration under the Investment Company Act. At present, we generally do not expect that our investments in structured Agency MBS will constitute qualifying real estate assets, but will constitute real estate-related assets for purposes of the Investment Company Act.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 and Human Capital Resources</w:t>
      </w:r>
    </w:p>
    <w:p>
      <w:pPr>
        <w:spacing w:after="0" w:line="234" w:lineRule="exact"/>
        <w:rPr>
          <w:sz w:val="20"/>
          <w:szCs w:val="20"/>
          <w:color w:val="auto"/>
        </w:rPr>
      </w:pPr>
    </w:p>
    <w:p>
      <w:pPr>
        <w:ind w:right="220" w:firstLine="360"/>
        <w:spacing w:after="0" w:line="258" w:lineRule="auto"/>
        <w:rPr>
          <w:sz w:val="20"/>
          <w:szCs w:val="20"/>
          <w:color w:val="auto"/>
        </w:rPr>
      </w:pPr>
      <w:r>
        <w:rPr>
          <w:rFonts w:ascii="Times New Roman" w:cs="Times New Roman" w:eastAsia="Times New Roman" w:hAnsi="Times New Roman"/>
          <w:sz w:val="20"/>
          <w:szCs w:val="20"/>
          <w:color w:val="auto"/>
        </w:rPr>
        <w:t>As of December 31, 2025, we had 10 full-time salaried employees, none of whom are subject to a collective bargaining agreement. We provide a variety of benefit programs including a 401(k) plan and health, dental and other insurance. We believe our relationship with our employees is excellent.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34" w:lineRule="exact"/>
        <w:rPr>
          <w:sz w:val="20"/>
          <w:szCs w:val="20"/>
          <w:color w:val="auto"/>
        </w:rPr>
      </w:pPr>
    </w:p>
    <w:p>
      <w:pPr>
        <w:ind w:right="120" w:firstLine="360"/>
        <w:spacing w:after="0" w:line="244" w:lineRule="auto"/>
        <w:rPr>
          <w:sz w:val="20"/>
          <w:szCs w:val="20"/>
          <w:color w:val="auto"/>
        </w:rPr>
      </w:pPr>
      <w:r>
        <w:rPr>
          <w:rFonts w:ascii="Times New Roman" w:cs="Times New Roman" w:eastAsia="Times New Roman" w:hAnsi="Times New Roman"/>
          <w:sz w:val="20"/>
          <w:szCs w:val="20"/>
          <w:color w:val="auto"/>
        </w:rPr>
        <w:t>Our net income depends on our ability to acquire Agency MBS for our portfolio at favorable spreads over our borrowing costs. Our net income also depends on our ability to execute the same investment strategy for the Orchid portfolio, for which we receive management fees and expense reimbursement payments. When we invest in Agency MBS and other investment assets, we compete with a variety of institutional investors, including mortgage REITs, insurance companies, mutual funds, pension funds, investment banking firms, banks and other financial institutions that invest in the same types of assets, the Federal Reserve Bank and other governmental entities or government sponsored entities. Many of these investors have greater financial resources and access to lower costs of capital than we do. The existence of these competitive entities, as well as the possibility of additional entities forming in the future, may increase the competition for the acquisition of mortgage related securities, resulting in higher prices and lower yields on assets.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35" w:lineRule="exact"/>
        <w:rPr>
          <w:sz w:val="20"/>
          <w:szCs w:val="20"/>
          <w:color w:val="auto"/>
        </w:rPr>
      </w:pPr>
    </w:p>
    <w:p>
      <w:pPr>
        <w:ind w:firstLine="360"/>
        <w:spacing w:after="0" w:line="247" w:lineRule="auto"/>
        <w:rPr>
          <w:sz w:val="20"/>
          <w:szCs w:val="20"/>
          <w:color w:val="auto"/>
        </w:rPr>
      </w:pPr>
      <w:r>
        <w:rPr>
          <w:rFonts w:ascii="Times New Roman" w:cs="Times New Roman" w:eastAsia="Times New Roman" w:hAnsi="Times New Roman"/>
          <w:sz w:val="20"/>
          <w:szCs w:val="20"/>
          <w:color w:val="auto"/>
        </w:rPr>
        <w:t xml:space="preserve">Our investor relations website is </w:t>
      </w:r>
      <w:r>
        <w:rPr>
          <w:rFonts w:ascii="Times New Roman" w:cs="Times New Roman" w:eastAsia="Times New Roman" w:hAnsi="Times New Roman"/>
          <w:sz w:val="20"/>
          <w:szCs w:val="20"/>
          <w:u w:val="single" w:color="auto"/>
          <w:color w:val="auto"/>
        </w:rPr>
        <w:t>https://ir.biminicapital.com</w:t>
      </w:r>
      <w:r>
        <w:rPr>
          <w:rFonts w:ascii="Times New Roman" w:cs="Times New Roman" w:eastAsia="Times New Roman" w:hAnsi="Times New Roman"/>
          <w:sz w:val="20"/>
          <w:szCs w:val="20"/>
          <w:color w:val="auto"/>
        </w:rPr>
        <w:t>. We make available on the website under "Financials/SEC filings," free of charge, our annual report on Form 10-K, our quarterly reports on Form 10-Q, our current reports on Form 8-K and any other reports (including any amendments to such reports) as soon as reasonably practicable after we electronically file or furnish such materials to the SEC. Our corporate governance guidelines, code of business conduct and ethics, board committee charters, and certain other corporate governance policies are also posted on the website. Information on our website, however, is not part of this Report. In addition, all of our filed reports can be obtained at the SEC’s website at http://www.sec.gov.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780"/>
          </w:cols>
          <w:pgMar w:left="720" w:top="781" w:right="740" w:bottom="135"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3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i w:val="1"/>
          <w:iCs w:val="1"/>
          <w:color w:val="auto"/>
        </w:rPr>
        <w:t>You should carefully consider the risks and uncertainties described below and all other information contained in this Report, including our annual consolidated financial statements and related notes thereto, and our other reports filed with or furnished to the SEC before making an investment decision regarding our common stock. These disclosures reflect the Company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 beliefs and opinions as to factors that could materially and adversely affect the Company and its securities in the future. Our business, financial condition or results of operations could be harmed by any of these risks. Similarly, these risks could cause the market price of our common stock to decline and you might lose all or part of your investment. Our actual results could differ materially from those anticipated by our forward-looking statements as a result of the risk factors below. References to past events are provided by way of example only and are not intended to be a complete listing or a representation as to whether or not such factors have occurred in the past or their likelihood of occurring in the future.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Summary of Risk Factors</w:t>
      </w:r>
    </w:p>
    <w:p>
      <w:pPr>
        <w:spacing w:after="0" w:line="23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left="360" w:right="80" w:hanging="350"/>
        <w:spacing w:after="0" w:line="259" w:lineRule="auto"/>
        <w:tabs>
          <w:tab w:leader="none" w:pos="3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interest rates may negatively affect the value of our investments and increase the cost of our borrowings, which could result in reduced earnings or losses.</w:t>
      </w:r>
    </w:p>
    <w:p>
      <w:pPr>
        <w:ind w:left="360" w:right="440" w:hanging="350"/>
        <w:spacing w:after="0" w:line="243" w:lineRule="auto"/>
        <w:tabs>
          <w:tab w:leader="none" w:pos="3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increase in interest rates may also cause a decrease in the volume of newly issued, or investor demand for, Agency MBS, which could materially adversely affect our ability to acquire assets that satisfy our investment objectives and our business, financial condition and results of operations.</w:t>
      </w:r>
    </w:p>
    <w:p>
      <w:pPr>
        <w:spacing w:after="0" w:line="1" w:lineRule="exact"/>
        <w:rPr>
          <w:rFonts w:ascii="Times New Roman" w:cs="Times New Roman" w:eastAsia="Times New Roman" w:hAnsi="Times New Roman"/>
          <w:sz w:val="20"/>
          <w:szCs w:val="20"/>
          <w:color w:val="auto"/>
        </w:rPr>
      </w:pPr>
    </w:p>
    <w:p>
      <w:pPr>
        <w:ind w:left="360" w:right="420" w:hanging="350"/>
        <w:spacing w:after="0" w:line="245" w:lineRule="auto"/>
        <w:tabs>
          <w:tab w:leader="none" w:pos="3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rate mismatches between our Agency MBS and our borrowings may reduce our net interest margin during periods of changing interest rates, which could materially adversely affect our business, financial condition and results of operations.</w:t>
      </w:r>
    </w:p>
    <w:p>
      <w:pPr>
        <w:ind w:left="360" w:right="160" w:hanging="350"/>
        <w:spacing w:after="0" w:line="244" w:lineRule="auto"/>
        <w:tabs>
          <w:tab w:leader="none" w:pos="3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Downgrades of the U.S. credit rating, automatic spending cuts, mounting budget deficits or another government shutdown could negatively impact our liquidity, financial condition and earnings.</w:t>
      </w:r>
    </w:p>
    <w:p>
      <w:pPr>
        <w:spacing w:after="0" w:line="1" w:lineRule="exact"/>
        <w:rPr>
          <w:rFonts w:ascii="Times New Roman" w:cs="Times New Roman" w:eastAsia="Times New Roman" w:hAnsi="Times New Roman"/>
          <w:sz w:val="20"/>
          <w:szCs w:val="20"/>
          <w:color w:val="auto"/>
        </w:rPr>
      </w:pPr>
    </w:p>
    <w:p>
      <w:pPr>
        <w:ind w:left="360" w:right="100" w:hanging="350"/>
        <w:spacing w:after="0" w:line="245" w:lineRule="auto"/>
        <w:tabs>
          <w:tab w:leader="none" w:pos="3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levels of prepayments on the mortgages underlying our Agency MBS might decrease net interest income or result in a net loss, which could materially adversely affect our business, financial condition and results of operations.</w:t>
      </w:r>
    </w:p>
    <w:p>
      <w:pPr>
        <w:ind w:left="360" w:right="120" w:hanging="350"/>
        <w:spacing w:after="0" w:line="245" w:lineRule="auto"/>
        <w:tabs>
          <w:tab w:leader="none" w:pos="3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procure adequate repurchase agreement financing, or to renew or replace existing repurchase agreement financing as it matures, could materially adversely affect our business, financial condition and results of operations.</w:t>
      </w:r>
    </w:p>
    <w:p>
      <w:pPr>
        <w:ind w:left="360" w:right="20" w:hanging="350"/>
        <w:spacing w:after="0" w:line="244" w:lineRule="auto"/>
        <w:tabs>
          <w:tab w:leader="none" w:pos="3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complete our proposed acquisition of Tom Johnson Investment Management, LLC (“TJIM”), and failure to complete the acquisition could negatively affect our business, stock price, and future operations.</w:t>
      </w:r>
    </w:p>
    <w:p>
      <w:pPr>
        <w:spacing w:after="0" w:line="1" w:lineRule="exact"/>
        <w:rPr>
          <w:rFonts w:ascii="Times New Roman" w:cs="Times New Roman" w:eastAsia="Times New Roman" w:hAnsi="Times New Roman"/>
          <w:sz w:val="20"/>
          <w:szCs w:val="20"/>
          <w:color w:val="auto"/>
        </w:rPr>
      </w:pPr>
    </w:p>
    <w:p>
      <w:pPr>
        <w:ind w:left="360" w:right="400" w:hanging="350"/>
        <w:spacing w:after="0" w:line="245" w:lineRule="auto"/>
        <w:tabs>
          <w:tab w:leader="none" w:pos="3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 if we complete our proposed acquisition of TJIM, we may not realize the anticipated benefits of the acquisition, and the acquisition may disrupt our current operations or expose us to additional risks.</w:t>
      </w:r>
    </w:p>
    <w:p>
      <w:pPr>
        <w:ind w:left="360" w:right="40" w:hanging="350"/>
        <w:spacing w:after="0" w:line="242" w:lineRule="auto"/>
        <w:tabs>
          <w:tab w:leader="none" w:pos="3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market developments could cause our lenders to require us to pledge additional assets as collateral. If our assets were insufficient to meet these collateral requirements, we might be compelled to liquidate particular assets at inopportune times and at unfavorable prices, which could materially adversely affect our business, financial condition and results of operations and our ability to pay distributions to our stockholders.</w:t>
      </w:r>
    </w:p>
    <w:p>
      <w:pPr>
        <w:spacing w:after="0" w:line="2" w:lineRule="exact"/>
        <w:rPr>
          <w:rFonts w:ascii="Times New Roman" w:cs="Times New Roman" w:eastAsia="Times New Roman" w:hAnsi="Times New Roman"/>
          <w:sz w:val="20"/>
          <w:szCs w:val="20"/>
          <w:color w:val="auto"/>
        </w:rPr>
      </w:pPr>
    </w:p>
    <w:p>
      <w:pPr>
        <w:ind w:left="360" w:right="40" w:hanging="350"/>
        <w:spacing w:after="0" w:line="244" w:lineRule="auto"/>
        <w:tabs>
          <w:tab w:leader="none" w:pos="3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Hedging against interest rate exposure may not completely insulate us from interest rate risk and could materially adversely affect our business, financial condition and results of operations.</w:t>
      </w:r>
    </w:p>
    <w:p>
      <w:pPr>
        <w:spacing w:after="0" w:line="1" w:lineRule="exact"/>
        <w:rPr>
          <w:rFonts w:ascii="Times New Roman" w:cs="Times New Roman" w:eastAsia="Times New Roman" w:hAnsi="Times New Roman"/>
          <w:sz w:val="20"/>
          <w:szCs w:val="20"/>
          <w:color w:val="auto"/>
        </w:rPr>
      </w:pPr>
    </w:p>
    <w:p>
      <w:pPr>
        <w:ind w:left="360" w:hanging="350"/>
        <w:spacing w:after="0"/>
        <w:tabs>
          <w:tab w:leader="none" w:pos="3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use of leverage could materially adversely affect our business, financial condition and results of operations.</w:t>
      </w:r>
    </w:p>
    <w:p>
      <w:pPr>
        <w:spacing w:after="0" w:line="10" w:lineRule="exact"/>
        <w:rPr>
          <w:rFonts w:ascii="Times New Roman" w:cs="Times New Roman" w:eastAsia="Times New Roman" w:hAnsi="Times New Roman"/>
          <w:sz w:val="20"/>
          <w:szCs w:val="20"/>
          <w:color w:val="auto"/>
        </w:rPr>
      </w:pPr>
    </w:p>
    <w:p>
      <w:pPr>
        <w:jc w:val="both"/>
        <w:ind w:left="360" w:hanging="350"/>
        <w:spacing w:after="0" w:line="243" w:lineRule="auto"/>
        <w:tabs>
          <w:tab w:leader="none" w:pos="3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analytical models and other data to analyze potential asset acquisition and disposition opportunities and to manage our portfolio. Such models and other data may be incorrect, misleading or incomplete, which could cause us to purchase assets that do not meet our expectations or to make asset management decisions that are not in line with our strategy.</w:t>
      </w:r>
    </w:p>
    <w:p>
      <w:pPr>
        <w:spacing w:after="0" w:line="2" w:lineRule="exact"/>
        <w:rPr>
          <w:rFonts w:ascii="Times New Roman" w:cs="Times New Roman" w:eastAsia="Times New Roman" w:hAnsi="Times New Roman"/>
          <w:sz w:val="20"/>
          <w:szCs w:val="20"/>
          <w:color w:val="auto"/>
        </w:rPr>
      </w:pPr>
    </w:p>
    <w:p>
      <w:pPr>
        <w:ind w:left="360" w:hanging="350"/>
        <w:spacing w:after="0"/>
        <w:tabs>
          <w:tab w:leader="none" w:pos="3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Valuations of our assets are based on third-party input, and our own judgement, which can result in fluctuations over time.</w:t>
      </w:r>
    </w:p>
    <w:p>
      <w:pPr>
        <w:spacing w:after="0" w:line="10" w:lineRule="exact"/>
        <w:rPr>
          <w:rFonts w:ascii="Times New Roman" w:cs="Times New Roman" w:eastAsia="Times New Roman" w:hAnsi="Times New Roman"/>
          <w:sz w:val="20"/>
          <w:szCs w:val="20"/>
          <w:color w:val="auto"/>
        </w:rPr>
      </w:pPr>
    </w:p>
    <w:p>
      <w:pPr>
        <w:ind w:left="360" w:right="80" w:hanging="350"/>
        <w:spacing w:after="0" w:line="242" w:lineRule="auto"/>
        <w:tabs>
          <w:tab w:leader="none" w:pos="3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our lenders default on their obligations to resell the Agency MBS back to us at the end of the repo transaction term, or if the value of the Agency MBS has declined by the end of the repo transaction term or if we default on our obligations under the repo transaction, we will lose money on these transactions, which, in turn, may materially adversely affect our business, financial condition and results of operations.</w:t>
      </w:r>
    </w:p>
    <w:p>
      <w:pPr>
        <w:spacing w:after="0" w:line="2" w:lineRule="exact"/>
        <w:rPr>
          <w:rFonts w:ascii="Times New Roman" w:cs="Times New Roman" w:eastAsia="Times New Roman" w:hAnsi="Times New Roman"/>
          <w:sz w:val="20"/>
          <w:szCs w:val="20"/>
          <w:color w:val="auto"/>
        </w:rPr>
      </w:pPr>
    </w:p>
    <w:p>
      <w:pPr>
        <w:ind w:left="360" w:hanging="350"/>
        <w:spacing w:after="0"/>
        <w:tabs>
          <w:tab w:leader="none" w:pos="3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issued long-term debt to fund our operations which can increase the volatility of our earnings and stockholders’ equity.</w:t>
      </w:r>
    </w:p>
    <w:p>
      <w:pPr>
        <w:spacing w:after="0" w:line="10" w:lineRule="exact"/>
        <w:rPr>
          <w:rFonts w:ascii="Times New Roman" w:cs="Times New Roman" w:eastAsia="Times New Roman" w:hAnsi="Times New Roman"/>
          <w:sz w:val="20"/>
          <w:szCs w:val="20"/>
          <w:color w:val="auto"/>
        </w:rPr>
      </w:pPr>
    </w:p>
    <w:p>
      <w:pPr>
        <w:ind w:left="360" w:right="20" w:hanging="350"/>
        <w:spacing w:after="0" w:line="244" w:lineRule="auto"/>
        <w:tabs>
          <w:tab w:leader="none" w:pos="3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Clearing facilities or exchanges upon which some of our hedging instruments are traded may increase margin requirements on our hedging instruments in the event of adverse economic developments.</w:t>
      </w:r>
    </w:p>
    <w:p>
      <w:pPr>
        <w:spacing w:after="0" w:line="1" w:lineRule="exact"/>
        <w:rPr>
          <w:rFonts w:ascii="Times New Roman" w:cs="Times New Roman" w:eastAsia="Times New Roman" w:hAnsi="Times New Roman"/>
          <w:sz w:val="20"/>
          <w:szCs w:val="20"/>
          <w:color w:val="auto"/>
        </w:rPr>
      </w:pPr>
    </w:p>
    <w:p>
      <w:pPr>
        <w:ind w:left="360" w:right="560" w:hanging="350"/>
        <w:spacing w:after="0" w:line="245" w:lineRule="auto"/>
        <w:tabs>
          <w:tab w:leader="none" w:pos="3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depend on a limited number of individuals to operate our business, and the sudden loss of certain key individuals could adversely impact our business.</w:t>
      </w:r>
    </w:p>
    <w:p>
      <w:pPr>
        <w:ind w:left="360" w:right="100" w:hanging="350"/>
        <w:spacing w:after="0" w:line="250" w:lineRule="auto"/>
        <w:tabs>
          <w:tab w:leader="none" w:pos="3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change our investment strategy, investment guidelines and asset allocation without notice or stockholder consent, which may result in riskier investments.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800"/>
          </w:cols>
          <w:pgMar w:left="720" w:top="781" w:right="720" w:bottom="135" w:gutter="0" w:footer="0" w:header="0"/>
        </w:sectPr>
      </w:pPr>
    </w:p>
    <w:bookmarkStart w:id="15" w:name="page16"/>
    <w:bookmarkEnd w:id="15"/>
    <w:p>
      <w:pPr>
        <w:ind w:left="360" w:right="380" w:hanging="350"/>
        <w:spacing w:after="0" w:line="259" w:lineRule="auto"/>
        <w:tabs>
          <w:tab w:leader="none" w:pos="3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our exemption from regulation under the Investment Company Act would negatively affect the value of shares of our common stock.</w:t>
      </w:r>
    </w:p>
    <w:p>
      <w:pPr>
        <w:ind w:left="360" w:right="220" w:hanging="350"/>
        <w:spacing w:after="0" w:line="243" w:lineRule="auto"/>
        <w:tabs>
          <w:tab w:leader="none" w:pos="3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obtain and maintain an exemption from being regulated as a commodity pool operator could subject us to additional regulation and compliance requirements and may result in fines and other penalties which could materially adversely affect our business and financial condition.</w:t>
      </w:r>
    </w:p>
    <w:p>
      <w:pPr>
        <w:spacing w:after="0" w:line="1" w:lineRule="exact"/>
        <w:rPr>
          <w:rFonts w:ascii="Times New Roman" w:cs="Times New Roman" w:eastAsia="Times New Roman" w:hAnsi="Times New Roman"/>
          <w:sz w:val="20"/>
          <w:szCs w:val="20"/>
          <w:color w:val="auto"/>
        </w:rPr>
      </w:pPr>
    </w:p>
    <w:p>
      <w:pPr>
        <w:ind w:left="360" w:right="660" w:hanging="350"/>
        <w:spacing w:after="0" w:line="245" w:lineRule="auto"/>
        <w:tabs>
          <w:tab w:leader="none" w:pos="3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ownership limitations and certain other provisions of applicable law and our charter and bylaws may restrict business combination opportunities that would otherwise be favorable to our stockholders.</w:t>
      </w:r>
    </w:p>
    <w:p>
      <w:pPr>
        <w:ind w:left="360" w:right="200" w:hanging="350"/>
        <w:spacing w:after="0" w:line="245" w:lineRule="auto"/>
        <w:tabs>
          <w:tab w:leader="none" w:pos="3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termination or non-renewal of our management agreement with Orchid would significantly reduce our revenues in the near term.</w:t>
      </w:r>
    </w:p>
    <w:p>
      <w:pPr>
        <w:ind w:left="360" w:right="700" w:hanging="350"/>
        <w:spacing w:after="0" w:line="244" w:lineRule="auto"/>
        <w:tabs>
          <w:tab w:leader="none" w:pos="3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cannot predict the effect that government policies, laws and plans adopted in response to geopolitical events, a global pandemic, or global recessionary economic conditions will have on us.</w:t>
      </w:r>
    </w:p>
    <w:p>
      <w:pPr>
        <w:spacing w:after="0" w:line="1" w:lineRule="exact"/>
        <w:rPr>
          <w:rFonts w:ascii="Times New Roman" w:cs="Times New Roman" w:eastAsia="Times New Roman" w:hAnsi="Times New Roman"/>
          <w:sz w:val="20"/>
          <w:szCs w:val="20"/>
          <w:color w:val="auto"/>
        </w:rPr>
      </w:pPr>
    </w:p>
    <w:p>
      <w:pPr>
        <w:ind w:left="360" w:right="220" w:hanging="350"/>
        <w:spacing w:after="0" w:line="250" w:lineRule="auto"/>
        <w:tabs>
          <w:tab w:leader="none" w:pos="3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investment in Orchid or other mortgage REIT common stock may fluctuate in value which may materially adversely affect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 Factors</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236" w:lineRule="exact"/>
        <w:rPr>
          <w:sz w:val="20"/>
          <w:szCs w:val="20"/>
          <w:color w:val="auto"/>
        </w:rPr>
      </w:pPr>
    </w:p>
    <w:p>
      <w:pPr>
        <w:ind w:left="360" w:right="40"/>
        <w:spacing w:after="0" w:line="276" w:lineRule="auto"/>
        <w:rPr>
          <w:sz w:val="20"/>
          <w:szCs w:val="20"/>
          <w:color w:val="auto"/>
        </w:rPr>
      </w:pPr>
      <w:r>
        <w:rPr>
          <w:rFonts w:ascii="Times New Roman" w:cs="Times New Roman" w:eastAsia="Times New Roman" w:hAnsi="Times New Roman"/>
          <w:sz w:val="20"/>
          <w:szCs w:val="20"/>
          <w:i w:val="1"/>
          <w:iCs w:val="1"/>
          <w:color w:val="auto"/>
        </w:rPr>
        <w:t>Changes in interest rates may negatively affect the value of our investments and increase the cost of our borrowings, which could result in reduced earnings or losses.</w:t>
      </w:r>
    </w:p>
    <w:p>
      <w:pPr>
        <w:spacing w:after="0" w:line="159" w:lineRule="exact"/>
        <w:rPr>
          <w:sz w:val="20"/>
          <w:szCs w:val="20"/>
          <w:color w:val="auto"/>
        </w:rPr>
      </w:pPr>
    </w:p>
    <w:p>
      <w:pPr>
        <w:ind w:firstLine="360"/>
        <w:spacing w:after="0" w:line="249" w:lineRule="auto"/>
        <w:rPr>
          <w:sz w:val="20"/>
          <w:szCs w:val="20"/>
          <w:color w:val="auto"/>
        </w:rPr>
      </w:pPr>
      <w:r>
        <w:rPr>
          <w:rFonts w:ascii="Times New Roman" w:cs="Times New Roman" w:eastAsia="Times New Roman" w:hAnsi="Times New Roman"/>
          <w:sz w:val="20"/>
          <w:szCs w:val="20"/>
          <w:color w:val="auto"/>
        </w:rPr>
        <w:t>Under normal market conditions, an investment in Agency MBS will decline in value if interest rates increase. In addition, net interest income could decrease if the yield curve is inverted or flat. While one or more of the GSEs guarantee the principal and interest payments related to the Agency MBS we own, this guarantee does not protect us from declines in market value caused by changes in interest rates. Declines in the market value of our investments may ultimately result in losses to us, which may reduce earnings and cash available to fund our operations.</w:t>
      </w:r>
    </w:p>
    <w:p>
      <w:pPr>
        <w:spacing w:after="0" w:line="187" w:lineRule="exact"/>
        <w:rPr>
          <w:sz w:val="20"/>
          <w:szCs w:val="20"/>
          <w:color w:val="auto"/>
        </w:rPr>
      </w:pPr>
    </w:p>
    <w:p>
      <w:pPr>
        <w:ind w:right="100" w:firstLine="360"/>
        <w:spacing w:after="0" w:line="244" w:lineRule="auto"/>
        <w:rPr>
          <w:sz w:val="20"/>
          <w:szCs w:val="20"/>
          <w:color w:val="auto"/>
        </w:rPr>
      </w:pPr>
      <w:r>
        <w:rPr>
          <w:rFonts w:ascii="Times New Roman" w:cs="Times New Roman" w:eastAsia="Times New Roman" w:hAnsi="Times New Roman"/>
          <w:sz w:val="20"/>
          <w:szCs w:val="20"/>
          <w:color w:val="auto"/>
        </w:rPr>
        <w:t>Significant increases in both long-term and short-term interest rates pose a substantial risk associated with our investment in Agency MBS. If long-term rates were to increase significantly, the market value of our Agency MBS would decline, and the duration and weighted average life of the investments would increase. We could realize a loss if the securities were sold. At the same time, an increase in short-term interest rates would increase the amount of interest owed on our repurchase agreements used to finance the purchase of Agency MBS, which would decrease cash. Using this business model, we are particularly susceptible to the effects of an inverted yield curve, where short- term rates are higher than long-term rates. Although rare in a historical context, the U.S. and many countries in Europe have recently experienced inverted yield curves. Given the volatile nature of the U.S. economy and potential future increases in short-term interest rates, there can be no guarantee that the yield curve will not become inverted. If this occurs, it could result in a decline in the value of our Agency MBS, our business, financial position and results of operations.</w:t>
      </w:r>
    </w:p>
    <w:p>
      <w:pPr>
        <w:spacing w:after="0" w:line="195" w:lineRule="exact"/>
        <w:rPr>
          <w:sz w:val="20"/>
          <w:szCs w:val="20"/>
          <w:color w:val="auto"/>
        </w:rPr>
      </w:pPr>
    </w:p>
    <w:p>
      <w:pPr>
        <w:ind w:right="120" w:firstLine="360"/>
        <w:spacing w:after="0" w:line="259" w:lineRule="auto"/>
        <w:rPr>
          <w:sz w:val="20"/>
          <w:szCs w:val="20"/>
          <w:color w:val="auto"/>
        </w:rPr>
      </w:pPr>
      <w:r>
        <w:rPr>
          <w:rFonts w:ascii="Times New Roman" w:cs="Times New Roman" w:eastAsia="Times New Roman" w:hAnsi="Times New Roman"/>
          <w:sz w:val="20"/>
          <w:szCs w:val="20"/>
          <w:color w:val="auto"/>
        </w:rPr>
        <w:t>Decreases in market interest rates may also adversely affect our results of operations and financial conditions. During periods of declining interest rates or prolonged low interest rates, the interest rates we earn on our new assets may be lower. In addition, prepayments on existing mortgages may increase causing yields on our MBS to be lower, to the extent they are carried at a premium.</w:t>
      </w:r>
    </w:p>
    <w:p>
      <w:pPr>
        <w:spacing w:after="0" w:line="178" w:lineRule="exact"/>
        <w:rPr>
          <w:sz w:val="20"/>
          <w:szCs w:val="20"/>
          <w:color w:val="auto"/>
        </w:rPr>
      </w:pPr>
    </w:p>
    <w:p>
      <w:pPr>
        <w:jc w:val="both"/>
        <w:ind w:left="360" w:right="460"/>
        <w:spacing w:after="0" w:line="257" w:lineRule="auto"/>
        <w:rPr>
          <w:sz w:val="20"/>
          <w:szCs w:val="20"/>
          <w:color w:val="auto"/>
        </w:rPr>
      </w:pPr>
      <w:r>
        <w:rPr>
          <w:rFonts w:ascii="Times New Roman" w:cs="Times New Roman" w:eastAsia="Times New Roman" w:hAnsi="Times New Roman"/>
          <w:sz w:val="20"/>
          <w:szCs w:val="20"/>
          <w:i w:val="1"/>
          <w:iCs w:val="1"/>
          <w:color w:val="auto"/>
        </w:rPr>
        <w:t>An increase in interest rates may also cause a decrease in the volume of newly issued, or investor demand for, Agency MBS, which could materially adversely affect our ability to acquire assets that satisfy our investment objectives and our business, financial condition and results of operations.</w:t>
      </w:r>
    </w:p>
    <w:p>
      <w:pPr>
        <w:spacing w:after="0" w:line="180" w:lineRule="exact"/>
        <w:rPr>
          <w:sz w:val="20"/>
          <w:szCs w:val="20"/>
          <w:color w:val="auto"/>
        </w:rPr>
      </w:pPr>
    </w:p>
    <w:p>
      <w:pPr>
        <w:ind w:right="40" w:firstLine="360"/>
        <w:spacing w:after="0" w:line="246" w:lineRule="auto"/>
        <w:rPr>
          <w:sz w:val="20"/>
          <w:szCs w:val="20"/>
          <w:color w:val="auto"/>
        </w:rPr>
      </w:pPr>
      <w:r>
        <w:rPr>
          <w:rFonts w:ascii="Times New Roman" w:cs="Times New Roman" w:eastAsia="Times New Roman" w:hAnsi="Times New Roman"/>
          <w:sz w:val="20"/>
          <w:szCs w:val="20"/>
          <w:color w:val="auto"/>
        </w:rPr>
        <w:t>Rising interest rates or high rates generally reduce the demand for consumer credit, including mortgage loans, due to the higher cost of borrowing. A reduction in the volume of mortgage loans may affect the volume of Agency MBS available to us, which could affect our ability to acquire assets that satisfy our investment objectives. Rising interest rates may also cause Agency MBS that were issued prior to an interest rate increase to provide yields that exceed prevailing market interest rates. If rising interest rates cause us to be unable to acquire a sufficient volume of Agency MBS or Agency MBS with a yield that exceeds our borrowing costs, our ability to satisfy our investment objectives and to generate income, as well as our business, financial condition and results of operations could be materially and adversely affected.</w:t>
      </w:r>
    </w:p>
    <w:p>
      <w:pPr>
        <w:spacing w:after="0" w:line="192" w:lineRule="exact"/>
        <w:rPr>
          <w:sz w:val="20"/>
          <w:szCs w:val="20"/>
          <w:color w:val="auto"/>
        </w:rPr>
      </w:pPr>
    </w:p>
    <w:p>
      <w:pPr>
        <w:ind w:left="360" w:right="380"/>
        <w:spacing w:after="0" w:line="302" w:lineRule="auto"/>
        <w:rPr>
          <w:sz w:val="20"/>
          <w:szCs w:val="20"/>
          <w:color w:val="auto"/>
        </w:rPr>
      </w:pPr>
      <w:r>
        <w:rPr>
          <w:rFonts w:ascii="Times New Roman" w:cs="Times New Roman" w:eastAsia="Times New Roman" w:hAnsi="Times New Roman"/>
          <w:sz w:val="19"/>
          <w:szCs w:val="19"/>
          <w:i w:val="1"/>
          <w:iCs w:val="1"/>
          <w:color w:val="auto"/>
        </w:rPr>
        <w:t>Interest rate mismatches between our Agency MBS and our borrowings may reduce our net interest margin during periods of changing interest rates, which could materially adversely affect our business, financial condition and results of operations.</w:t>
      </w:r>
    </w:p>
    <w:p>
      <w:pPr>
        <w:spacing w:after="0" w:line="138" w:lineRule="exact"/>
        <w:rPr>
          <w:sz w:val="20"/>
          <w:szCs w:val="20"/>
          <w:color w:val="auto"/>
        </w:rPr>
      </w:pPr>
    </w:p>
    <w:p>
      <w:pPr>
        <w:ind w:right="160" w:firstLine="360"/>
        <w:spacing w:after="0" w:line="258" w:lineRule="auto"/>
        <w:rPr>
          <w:sz w:val="20"/>
          <w:szCs w:val="20"/>
          <w:color w:val="auto"/>
        </w:rPr>
      </w:pPr>
      <w:r>
        <w:rPr>
          <w:rFonts w:ascii="Times New Roman" w:cs="Times New Roman" w:eastAsia="Times New Roman" w:hAnsi="Times New Roman"/>
          <w:sz w:val="20"/>
          <w:szCs w:val="20"/>
          <w:color w:val="auto"/>
        </w:rPr>
        <w:t>Our portfolio includes or may include Agency MBS backed by ARMs, hybrid ARMs and fixed-rate mortgages, and the mix of these securities in the portfolio may be increased or decreased over time. Additionally, the interest rates on ARMs and hybrid ARMs may vary over time based on changes in a short-term interest rate index, of which there are many.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780"/>
          </w:cols>
          <w:pgMar w:left="720" w:top="790" w:right="740" w:bottom="135" w:gutter="0" w:footer="0" w:header="0"/>
        </w:sectPr>
      </w:pPr>
    </w:p>
    <w:bookmarkStart w:id="16" w:name="page17"/>
    <w:bookmarkEnd w:id="16"/>
    <w:p>
      <w:pPr>
        <w:ind w:left="40" w:right="40" w:firstLine="360"/>
        <w:spacing w:after="0" w:line="252" w:lineRule="auto"/>
        <w:rPr>
          <w:sz w:val="20"/>
          <w:szCs w:val="20"/>
          <w:color w:val="auto"/>
        </w:rPr>
      </w:pPr>
      <w:r>
        <w:rPr>
          <w:rFonts w:ascii="Times New Roman" w:cs="Times New Roman" w:eastAsia="Times New Roman" w:hAnsi="Times New Roman"/>
          <w:sz w:val="20"/>
          <w:szCs w:val="20"/>
          <w:color w:val="auto"/>
        </w:rPr>
        <w:t>We finance our acquisitions of PT Agency MBS with short-term financing. During periods of rising short-term interest rates, the income we earn on these securities will not change (with respect to Agency MBS backed by fixed-rate mortgage loans) or will not increase at the same rate (with respect to Agency MBS backed by ARMs and hybrid ARMs) as our related financing costs, which may reduce our net interest margin or result in losses.</w:t>
      </w:r>
    </w:p>
    <w:p>
      <w:pPr>
        <w:spacing w:after="0" w:line="187" w:lineRule="exact"/>
        <w:rPr>
          <w:sz w:val="20"/>
          <w:szCs w:val="20"/>
          <w:color w:val="auto"/>
        </w:rPr>
      </w:pPr>
    </w:p>
    <w:p>
      <w:pPr>
        <w:ind w:left="40" w:right="140" w:firstLine="360"/>
        <w:spacing w:after="0" w:line="275" w:lineRule="auto"/>
        <w:rPr>
          <w:sz w:val="20"/>
          <w:szCs w:val="20"/>
          <w:color w:val="auto"/>
        </w:rPr>
      </w:pPr>
      <w:r>
        <w:rPr>
          <w:rFonts w:ascii="Times New Roman" w:cs="Times New Roman" w:eastAsia="Times New Roman" w:hAnsi="Times New Roman"/>
          <w:sz w:val="20"/>
          <w:szCs w:val="20"/>
          <w:i w:val="1"/>
          <w:iCs w:val="1"/>
          <w:color w:val="auto"/>
        </w:rPr>
        <w:t>Downgrades of the U.S. credit rating, automatic spending cuts, mounting budget deficits or another government shutdown could negatively impact our liquidity, financial condition and earnings.</w:t>
      </w:r>
    </w:p>
    <w:p>
      <w:pPr>
        <w:spacing w:after="0" w:line="161" w:lineRule="exact"/>
        <w:rPr>
          <w:sz w:val="20"/>
          <w:szCs w:val="20"/>
          <w:color w:val="auto"/>
        </w:rPr>
      </w:pPr>
    </w:p>
    <w:p>
      <w:pPr>
        <w:ind w:left="40" w:right="40" w:firstLine="360"/>
        <w:spacing w:after="0" w:line="245" w:lineRule="auto"/>
        <w:rPr>
          <w:sz w:val="20"/>
          <w:szCs w:val="20"/>
          <w:color w:val="auto"/>
        </w:rPr>
      </w:pPr>
      <w:r>
        <w:rPr>
          <w:rFonts w:ascii="Times New Roman" w:cs="Times New Roman" w:eastAsia="Times New Roman" w:hAnsi="Times New Roman"/>
          <w:sz w:val="20"/>
          <w:szCs w:val="20"/>
          <w:color w:val="auto"/>
        </w:rPr>
        <w:t>U.S. debt ceiling and budget deficit concerns have increased the possibility of credit-rating downgrades and economic slowdowns, or a recession in the United States. Although U.S. lawmakers passed legislation to raise the federal debt ceiling on multiple occasions, ratings agencies have in recent years lowered or threatened to lower the long -term sovereign credit rating on the United States. The impact of this or any further downgrades to the U.S. government’s sovereign credit rating or its perceived creditworthiness could adversely affect the U.S. and global financial markets and economic conditions. In addition, disagreement over the federal budget has caused the U.S. federal government to shut down for periods of time, and future disagreements may cause future shutdowns. Continued adverse political and economic conditions could have a material adverse effect on our business, financial condition and results of operations.</w:t>
      </w:r>
    </w:p>
    <w:p>
      <w:pPr>
        <w:spacing w:after="0" w:line="193" w:lineRule="exact"/>
        <w:rPr>
          <w:sz w:val="20"/>
          <w:szCs w:val="20"/>
          <w:color w:val="auto"/>
        </w:rPr>
      </w:pPr>
    </w:p>
    <w:p>
      <w:pPr>
        <w:ind w:left="400" w:right="460"/>
        <w:spacing w:after="0" w:line="276" w:lineRule="auto"/>
        <w:rPr>
          <w:sz w:val="20"/>
          <w:szCs w:val="20"/>
          <w:color w:val="auto"/>
        </w:rPr>
      </w:pPr>
      <w:r>
        <w:rPr>
          <w:rFonts w:ascii="Times New Roman" w:cs="Times New Roman" w:eastAsia="Times New Roman" w:hAnsi="Times New Roman"/>
          <w:sz w:val="20"/>
          <w:szCs w:val="20"/>
          <w:i w:val="1"/>
          <w:iCs w:val="1"/>
          <w:color w:val="auto"/>
        </w:rPr>
        <w:t>Differences in the stated maturity of our fixed rate assets, or in the timing of interest rate adjustments on our adjustable-rate assets, and our borrowings may adversely affect our profitability.</w:t>
      </w:r>
    </w:p>
    <w:p>
      <w:pPr>
        <w:spacing w:after="0" w:line="159" w:lineRule="exact"/>
        <w:rPr>
          <w:sz w:val="20"/>
          <w:szCs w:val="20"/>
          <w:color w:val="auto"/>
        </w:rPr>
      </w:pPr>
    </w:p>
    <w:p>
      <w:pPr>
        <w:ind w:left="40" w:right="180" w:firstLine="360"/>
        <w:spacing w:after="0" w:line="252" w:lineRule="auto"/>
        <w:rPr>
          <w:sz w:val="20"/>
          <w:szCs w:val="20"/>
          <w:color w:val="auto"/>
        </w:rPr>
      </w:pPr>
      <w:r>
        <w:rPr>
          <w:rFonts w:ascii="Times New Roman" w:cs="Times New Roman" w:eastAsia="Times New Roman" w:hAnsi="Times New Roman"/>
          <w:sz w:val="20"/>
          <w:szCs w:val="20"/>
          <w:color w:val="auto"/>
        </w:rPr>
        <w:t>We rely primarily on short-term and/or variable rate borrowings to acquire fixed-rate securities with long-term maturities. In addition, we may have adjustable rate assets with interest rates that vary over time based upon changes in an objective index, such as SOFR, or the U.S. Treasury rate. These indices generally reflect short-term interest rates but these assets may not reset in a manner that matches our borrowings.</w:t>
      </w:r>
    </w:p>
    <w:p>
      <w:pPr>
        <w:spacing w:after="0" w:line="185" w:lineRule="exact"/>
        <w:rPr>
          <w:sz w:val="20"/>
          <w:szCs w:val="20"/>
          <w:color w:val="auto"/>
        </w:rPr>
      </w:pPr>
    </w:p>
    <w:p>
      <w:pPr>
        <w:ind w:left="40" w:firstLine="361"/>
        <w:spacing w:after="0" w:line="244" w:lineRule="auto"/>
        <w:rPr>
          <w:sz w:val="20"/>
          <w:szCs w:val="20"/>
          <w:color w:val="auto"/>
        </w:rPr>
      </w:pPr>
      <w:r>
        <w:rPr>
          <w:rFonts w:ascii="Times New Roman" w:cs="Times New Roman" w:eastAsia="Times New Roman" w:hAnsi="Times New Roman"/>
          <w:sz w:val="20"/>
          <w:szCs w:val="20"/>
          <w:color w:val="auto"/>
        </w:rPr>
        <w:t>The relationship between short-term and longer-term interest rates is often referred to as the "yield curve." Ordinarily, short-term interest rates are lower than longer-term interest rates. If short-term interest rates rise disproportionately relative to longer- term interest rates (a "flattening" of the yield curve), our borrowing costs may increase more rapidly than the interest income earned on our assets. Because our investments generally bear interest at longer-term rates than we pay on our borrowings, a flattening of the yield curve would tend to decrease our net interest income and the market value of our investment portfolio. Additionally, to the extent cash flows from investments that return scheduled and unscheduled principal are reinvested, the spread between the yields on the new investments and available borrowing rates may decline, which would likely decrease our net income. It is also possible that short-term interest rates may exceed longer-term interest rates (a yield curve "inversion"), in which event, our borrowing costs may exceed our interest income and result in operating losses.</w:t>
      </w:r>
    </w:p>
    <w:p>
      <w:pPr>
        <w:spacing w:after="0" w:line="197" w:lineRule="exact"/>
        <w:rPr>
          <w:sz w:val="20"/>
          <w:szCs w:val="20"/>
          <w:color w:val="auto"/>
        </w:rPr>
      </w:pPr>
    </w:p>
    <w:p>
      <w:pPr>
        <w:ind w:left="40" w:right="80" w:firstLine="361"/>
        <w:spacing w:after="0" w:line="252" w:lineRule="auto"/>
        <w:rPr>
          <w:sz w:val="20"/>
          <w:szCs w:val="20"/>
          <w:color w:val="auto"/>
        </w:rPr>
      </w:pPr>
      <w:r>
        <w:rPr>
          <w:rFonts w:ascii="Times New Roman" w:cs="Times New Roman" w:eastAsia="Times New Roman" w:hAnsi="Times New Roman"/>
          <w:sz w:val="20"/>
          <w:szCs w:val="20"/>
          <w:i w:val="1"/>
          <w:iCs w:val="1"/>
          <w:color w:val="auto"/>
        </w:rPr>
        <w:t>Short-term interest rates may become higher than long-term interest rates, which is typically referred to as an inverted treasury or yield curve. An inverted yield curve occurred during 2022 through the majority of 2024, and may occur again in the future. Under such conditions the Company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 funding costs may equal or exceed yields available on the Company assets, adversely impacting our financial condition and results of operations and our ability to pay distributions to our stockholders.</w:t>
      </w:r>
    </w:p>
    <w:p>
      <w:pPr>
        <w:spacing w:after="0" w:line="182" w:lineRule="exact"/>
        <w:rPr>
          <w:sz w:val="20"/>
          <w:szCs w:val="20"/>
          <w:color w:val="auto"/>
        </w:rPr>
      </w:pPr>
    </w:p>
    <w:p>
      <w:pPr>
        <w:ind w:right="40" w:firstLine="360"/>
        <w:spacing w:after="0" w:line="249" w:lineRule="auto"/>
        <w:rPr>
          <w:sz w:val="20"/>
          <w:szCs w:val="20"/>
          <w:color w:val="auto"/>
        </w:rPr>
      </w:pPr>
      <w:r>
        <w:rPr>
          <w:rFonts w:ascii="Times New Roman" w:cs="Times New Roman" w:eastAsia="Times New Roman" w:hAnsi="Times New Roman"/>
          <w:sz w:val="20"/>
          <w:szCs w:val="20"/>
          <w:color w:val="auto"/>
        </w:rPr>
        <w:t>As the Federal Reserve began to increase over-night funding rates during 2022, short-term interest rates began to rise faster than longer-term interest rates and eventually the treasury yield curve became inverted, whereby yields on short-terms rates exceeded yields on long-term interest rates. This condition continued through 2023 and the majority of 2024, and may occur again in the</w:t>
      </w:r>
    </w:p>
    <w:p>
      <w:pPr>
        <w:spacing w:after="0" w:line="2"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20"/>
          <w:szCs w:val="20"/>
          <w:color w:val="auto"/>
        </w:rPr>
        <w:t>future. Consistent with this development, funding costs associated with the Company’s borrowings increased during these periods relative to yields on the Company’s MBS securities. As a result, the Company’s net interest income declined during these periods. The Company employed various hedging strategies to offset the inverted yield curve. However, such hedges may not be adequate to protect the Company’s net interest income if the yield curve inverts again in the future. If the yield curve inverts again in the future, the financial conditions, results of operations and the Company could be materially adversely affected.</w:t>
      </w:r>
    </w:p>
    <w:p>
      <w:pPr>
        <w:spacing w:after="0" w:line="195" w:lineRule="exact"/>
        <w:rPr>
          <w:sz w:val="20"/>
          <w:szCs w:val="20"/>
          <w:color w:val="auto"/>
        </w:rPr>
      </w:pPr>
    </w:p>
    <w:p>
      <w:pPr>
        <w:ind w:left="40" w:right="180" w:firstLine="360"/>
        <w:spacing w:after="0" w:line="276" w:lineRule="auto"/>
        <w:rPr>
          <w:sz w:val="20"/>
          <w:szCs w:val="20"/>
          <w:color w:val="auto"/>
        </w:rPr>
      </w:pPr>
      <w:r>
        <w:rPr>
          <w:rFonts w:ascii="Times New Roman" w:cs="Times New Roman" w:eastAsia="Times New Roman" w:hAnsi="Times New Roman"/>
          <w:sz w:val="20"/>
          <w:szCs w:val="20"/>
          <w:i w:val="1"/>
          <w:iCs w:val="1"/>
          <w:color w:val="auto"/>
        </w:rPr>
        <w:t>Increased levels of prepayments on the mortgages underlying our Agency MBS might decrease net interest income or result in a net loss, which could materially adversely affect our business, financial condition and results of operations.</w:t>
      </w:r>
    </w:p>
    <w:p>
      <w:pPr>
        <w:spacing w:after="0" w:line="159" w:lineRule="exact"/>
        <w:rPr>
          <w:sz w:val="20"/>
          <w:szCs w:val="20"/>
          <w:color w:val="auto"/>
        </w:rPr>
      </w:pPr>
    </w:p>
    <w:p>
      <w:pPr>
        <w:ind w:left="40" w:right="160" w:firstLine="360"/>
        <w:spacing w:after="0" w:line="246" w:lineRule="auto"/>
        <w:rPr>
          <w:sz w:val="20"/>
          <w:szCs w:val="20"/>
          <w:color w:val="auto"/>
        </w:rPr>
      </w:pPr>
      <w:r>
        <w:rPr>
          <w:rFonts w:ascii="Times New Roman" w:cs="Times New Roman" w:eastAsia="Times New Roman" w:hAnsi="Times New Roman"/>
          <w:sz w:val="20"/>
          <w:szCs w:val="20"/>
          <w:color w:val="auto"/>
        </w:rPr>
        <w:t>In the case of residential mortgages, there are seldom any restrictions on borrowers’ ability to prepay their loans. Prepayment rates generally increase when interest rates fall and decrease when interest rates rise. Prepayment rates also may be affected by other factors, including, without limitation, conditions in the housing and financial markets, governmental action, general economic conditions and the relative interest rates on ARMs, hybrid ARMs and fixed-rate mortgage loans. To the extent that our PT Agency MBS are carried at a premium to par, faster-than-expected prepayments could also materially adversely affect our business, financial condition and results of operations in various ways, including, if we are unable to quickly acquire new Agency MBS that generate comparable returns to replace the prepaid Agency MBS.</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840"/>
          </w:cols>
          <w:pgMar w:left="680" w:top="785" w:right="720" w:bottom="135" w:gutter="0" w:footer="0" w:header="0"/>
        </w:sectPr>
      </w:pPr>
    </w:p>
    <w:bookmarkStart w:id="17" w:name="page18"/>
    <w:bookmarkEnd w:id="17"/>
    <w:p>
      <w:pPr>
        <w:ind w:right="60" w:firstLine="360"/>
        <w:spacing w:after="0" w:line="247" w:lineRule="auto"/>
        <w:rPr>
          <w:sz w:val="20"/>
          <w:szCs w:val="20"/>
          <w:color w:val="auto"/>
        </w:rPr>
      </w:pPr>
      <w:r>
        <w:rPr>
          <w:rFonts w:ascii="Times New Roman" w:cs="Times New Roman" w:eastAsia="Times New Roman" w:hAnsi="Times New Roman"/>
          <w:sz w:val="20"/>
          <w:szCs w:val="20"/>
          <w:color w:val="auto"/>
        </w:rPr>
        <w:t>When we acquire structured Agency MBS, we anticipate that the underlying mortgages will prepay at a projected rate, generating an expected yield. When the prepayment rates on the mortgages underlying our structured Agency MBS are higher than expected, our returns on those securities may be materially adversely affected. For example, the value of our IOs and IIOs are extremely sensitive to prepayments because holders of these securities do not have the right to receive any principal payments on the underlying mortgages. Therefore, if the mortgage loans underlying our IOs and IIOs are prepaid, such securities would cease to have any value, which, in turn, could materially adversely affect our business, financial condition and results of operations.</w:t>
      </w:r>
    </w:p>
    <w:p>
      <w:pPr>
        <w:spacing w:after="0" w:line="191" w:lineRule="exact"/>
        <w:rPr>
          <w:sz w:val="20"/>
          <w:szCs w:val="20"/>
          <w:color w:val="auto"/>
        </w:rPr>
      </w:pPr>
    </w:p>
    <w:p>
      <w:pPr>
        <w:ind w:firstLine="360"/>
        <w:spacing w:after="0" w:line="278" w:lineRule="auto"/>
        <w:rPr>
          <w:sz w:val="20"/>
          <w:szCs w:val="20"/>
          <w:color w:val="auto"/>
        </w:rPr>
      </w:pPr>
      <w:r>
        <w:rPr>
          <w:rFonts w:ascii="Times New Roman" w:cs="Times New Roman" w:eastAsia="Times New Roman" w:hAnsi="Times New Roman"/>
          <w:sz w:val="20"/>
          <w:szCs w:val="20"/>
          <w:color w:val="auto"/>
        </w:rPr>
        <w:t>While we seek to minimize prepayment risk, we must balance prepayment risk against other risks and the potential returns of each investment. No strategy can completely insulate us from prepayment or other such risks.</w:t>
      </w:r>
    </w:p>
    <w:p>
      <w:pPr>
        <w:spacing w:after="0" w:line="159" w:lineRule="exact"/>
        <w:rPr>
          <w:sz w:val="20"/>
          <w:szCs w:val="20"/>
          <w:color w:val="auto"/>
        </w:rPr>
      </w:pPr>
    </w:p>
    <w:p>
      <w:pPr>
        <w:ind w:left="360" w:right="220"/>
        <w:spacing w:after="0" w:line="275" w:lineRule="auto"/>
        <w:rPr>
          <w:sz w:val="20"/>
          <w:szCs w:val="20"/>
          <w:color w:val="auto"/>
        </w:rPr>
      </w:pPr>
      <w:r>
        <w:rPr>
          <w:rFonts w:ascii="Times New Roman" w:cs="Times New Roman" w:eastAsia="Times New Roman" w:hAnsi="Times New Roman"/>
          <w:sz w:val="20"/>
          <w:szCs w:val="20"/>
          <w:i w:val="1"/>
          <w:iCs w:val="1"/>
          <w:color w:val="auto"/>
        </w:rPr>
        <w:t>A decrease in prepayment rates on the mortgages underlying our Agency MBS might decrease net interest income or result in a net loss, which could materially adversely affect our business, financial condition and results of operations.</w:t>
      </w:r>
    </w:p>
    <w:p>
      <w:pPr>
        <w:spacing w:after="0" w:line="161" w:lineRule="exact"/>
        <w:rPr>
          <w:sz w:val="20"/>
          <w:szCs w:val="20"/>
          <w:color w:val="auto"/>
        </w:rPr>
      </w:pPr>
    </w:p>
    <w:p>
      <w:pPr>
        <w:ind w:right="20" w:firstLine="360"/>
        <w:spacing w:after="0" w:line="249" w:lineRule="auto"/>
        <w:rPr>
          <w:sz w:val="20"/>
          <w:szCs w:val="20"/>
          <w:color w:val="auto"/>
        </w:rPr>
      </w:pPr>
      <w:r>
        <w:rPr>
          <w:rFonts w:ascii="Times New Roman" w:cs="Times New Roman" w:eastAsia="Times New Roman" w:hAnsi="Times New Roman"/>
          <w:sz w:val="20"/>
          <w:szCs w:val="20"/>
          <w:color w:val="auto"/>
        </w:rPr>
        <w:t>Certain of our structured Agency MBS may be adversely affected by a decrease in prepayment rates. For example, because POs are similar to zero-coupon bonds, our expected returns on such securities will be contingent on our receiving the principal payments of the underlying mortgage loans at expected intervals that assume a certain prepayment rate. If prepayment rates are lower than expected, we will not receive principal payments as quickly as we anticipated and, therefore, our expected returns on these securities will be adversely affected, which, in turn, could materially adversely affect our business, financial condition and results of operations.</w:t>
      </w:r>
    </w:p>
    <w:p>
      <w:pPr>
        <w:spacing w:after="0" w:line="187" w:lineRule="exact"/>
        <w:rPr>
          <w:sz w:val="20"/>
          <w:szCs w:val="20"/>
          <w:color w:val="auto"/>
        </w:rPr>
      </w:pPr>
    </w:p>
    <w:p>
      <w:pPr>
        <w:ind w:firstLine="360"/>
        <w:spacing w:after="0" w:line="277" w:lineRule="auto"/>
        <w:rPr>
          <w:sz w:val="20"/>
          <w:szCs w:val="20"/>
          <w:color w:val="auto"/>
        </w:rPr>
      </w:pPr>
      <w:r>
        <w:rPr>
          <w:rFonts w:ascii="Times New Roman" w:cs="Times New Roman" w:eastAsia="Times New Roman" w:hAnsi="Times New Roman"/>
          <w:sz w:val="20"/>
          <w:szCs w:val="20"/>
          <w:color w:val="auto"/>
        </w:rPr>
        <w:t>While we seek to minimize prepayment risk, we must balance prepayment risk against other risks and the potential returns of each investment. No strategy can completely insulate us from prepayment or other such risks.</w:t>
      </w:r>
    </w:p>
    <w:p>
      <w:pPr>
        <w:spacing w:after="0" w:line="161" w:lineRule="exact"/>
        <w:rPr>
          <w:sz w:val="20"/>
          <w:szCs w:val="20"/>
          <w:color w:val="auto"/>
        </w:rPr>
      </w:pPr>
    </w:p>
    <w:p>
      <w:pPr>
        <w:ind w:left="360" w:right="80"/>
        <w:spacing w:after="0" w:line="275" w:lineRule="auto"/>
        <w:rPr>
          <w:sz w:val="20"/>
          <w:szCs w:val="20"/>
          <w:color w:val="auto"/>
        </w:rPr>
      </w:pPr>
      <w:r>
        <w:rPr>
          <w:rFonts w:ascii="Times New Roman" w:cs="Times New Roman" w:eastAsia="Times New Roman" w:hAnsi="Times New Roman"/>
          <w:sz w:val="20"/>
          <w:szCs w:val="20"/>
          <w:i w:val="1"/>
          <w:iCs w:val="1"/>
          <w:color w:val="auto"/>
        </w:rPr>
        <w:t>Interest rate caps on the ARMs and hybrid ARMs backing our Agency MBS may reduce our net interest margin during periods of rising interest rates, which could materially adversely affect our business, financial condition and results of operations.</w:t>
      </w:r>
    </w:p>
    <w:p>
      <w:pPr>
        <w:spacing w:after="0" w:line="161" w:lineRule="exact"/>
        <w:rPr>
          <w:sz w:val="20"/>
          <w:szCs w:val="20"/>
          <w:color w:val="auto"/>
        </w:rPr>
      </w:pPr>
    </w:p>
    <w:p>
      <w:pPr>
        <w:ind w:right="40" w:firstLine="360"/>
        <w:spacing w:after="0" w:line="243" w:lineRule="auto"/>
        <w:rPr>
          <w:sz w:val="20"/>
          <w:szCs w:val="20"/>
          <w:color w:val="auto"/>
        </w:rPr>
      </w:pPr>
      <w:r>
        <w:rPr>
          <w:rFonts w:ascii="Times New Roman" w:cs="Times New Roman" w:eastAsia="Times New Roman" w:hAnsi="Times New Roman"/>
          <w:sz w:val="20"/>
          <w:szCs w:val="20"/>
          <w:color w:val="auto"/>
        </w:rPr>
        <w:t>ARMs and hybrid ARMs are typically subject to periodic and lifetime interest rate caps. Periodic interest rate caps limit the amount an interest rate can increase during any given period. Lifetime interest rate caps limit the amount an interest rate can increase through the maturity of the loan. Our borrowings typically are not subject to similar restrictions. Accordingly, in a period of rapidly increasing interest rates, our financing costs could increase without limitation while caps could limit the interest we earn on the ARMs and hybrid ARMs backing our Agency MBS. This problem is magnified for ARMs and hybrid ARMs that are not fully indexed because such periodic interest rate caps prevent the coupon on the security from fully reaching the specified rate in one reset. Further, some ARMs and hybrid ARMs may be subject to periodic payment caps that result in a portion of the interest being deferred and added to the principal outstanding. As a result, we may receive less cash income on Agency MBS backed by ARMs and hybrid ARMs than necessary to pay interest on our related borrowings. Interest rate caps on Agency MBS backed by ARMs and hybrid ARMs could reduce our net interest margin if interest rates were to increase beyond the level of the caps, which could materially adversely affect our business, financial condition and results of operations.</w:t>
      </w:r>
    </w:p>
    <w:p>
      <w:pPr>
        <w:spacing w:after="0" w:line="200" w:lineRule="exact"/>
        <w:rPr>
          <w:sz w:val="20"/>
          <w:szCs w:val="20"/>
          <w:color w:val="auto"/>
        </w:rPr>
      </w:pPr>
    </w:p>
    <w:p>
      <w:pPr>
        <w:ind w:left="360" w:right="60"/>
        <w:spacing w:after="0" w:line="276" w:lineRule="auto"/>
        <w:rPr>
          <w:sz w:val="20"/>
          <w:szCs w:val="20"/>
          <w:color w:val="auto"/>
        </w:rPr>
      </w:pPr>
      <w:r>
        <w:rPr>
          <w:rFonts w:ascii="Times New Roman" w:cs="Times New Roman" w:eastAsia="Times New Roman" w:hAnsi="Times New Roman"/>
          <w:sz w:val="20"/>
          <w:szCs w:val="20"/>
          <w:i w:val="1"/>
          <w:iCs w:val="1"/>
          <w:color w:val="auto"/>
        </w:rPr>
        <w:t>Failure to procure adequate repurchase agreement financing, or to renew or replace existing repurchase agreement financing as it matures, could materially adversely affect our business, financial condition and results of operations.</w:t>
      </w:r>
    </w:p>
    <w:p>
      <w:pPr>
        <w:spacing w:after="0" w:line="159" w:lineRule="exact"/>
        <w:rPr>
          <w:sz w:val="20"/>
          <w:szCs w:val="20"/>
          <w:color w:val="auto"/>
        </w:rPr>
      </w:pPr>
    </w:p>
    <w:p>
      <w:pPr>
        <w:ind w:right="140" w:firstLine="360"/>
        <w:spacing w:after="0" w:line="247" w:lineRule="auto"/>
        <w:rPr>
          <w:sz w:val="20"/>
          <w:szCs w:val="20"/>
          <w:color w:val="auto"/>
        </w:rPr>
      </w:pPr>
      <w:r>
        <w:rPr>
          <w:rFonts w:ascii="Times New Roman" w:cs="Times New Roman" w:eastAsia="Times New Roman" w:hAnsi="Times New Roman"/>
          <w:sz w:val="20"/>
          <w:szCs w:val="20"/>
          <w:color w:val="auto"/>
        </w:rPr>
        <w:t>We intend to maintain master repurchase agreements with several counterparties. We cannot assure you that any, or sufficient, repurchase agreement financing will be available to us in the future on terms that are acceptable to us. Any decline in the value of Agency MBS, or perceived market uncertainty about their value, would make it more difficult for us to obtain financing on favorable terms or at all, or maintain our compliance with the terms of any financing arrangements already in place. We may be unable to diversify the credit risk associated with our lenders. In the event that we cannot obtain sufficient funding on acceptable terms, our business, financial condition and results of operations may be adversely affected.</w:t>
      </w:r>
    </w:p>
    <w:p>
      <w:pPr>
        <w:spacing w:after="0" w:line="191" w:lineRule="exact"/>
        <w:rPr>
          <w:sz w:val="20"/>
          <w:szCs w:val="20"/>
          <w:color w:val="auto"/>
        </w:rPr>
      </w:pPr>
    </w:p>
    <w:p>
      <w:pPr>
        <w:ind w:right="40" w:firstLine="360"/>
        <w:spacing w:after="0" w:line="245" w:lineRule="auto"/>
        <w:rPr>
          <w:sz w:val="20"/>
          <w:szCs w:val="20"/>
          <w:color w:val="auto"/>
        </w:rPr>
      </w:pPr>
      <w:r>
        <w:rPr>
          <w:rFonts w:ascii="Times New Roman" w:cs="Times New Roman" w:eastAsia="Times New Roman" w:hAnsi="Times New Roman"/>
          <w:sz w:val="20"/>
          <w:szCs w:val="20"/>
          <w:color w:val="auto"/>
        </w:rPr>
        <w:t>Furthermore, because we intend to rely primarily on short-term borrowings to fund our acquisition of Agency MBS, our ability to achieve our investment objectives will depend not only on our ability to borrow money in sufficient amounts and on favorable terms, but also on our ability to renew or replace on a continuous basis our maturing short-term borrowings. If we are not able to renew or replace maturing borrowings, we will have to sell some or all of our assets, possibly under adverse market conditions. In addition, if the regulatory capital requirements imposed on our lenders change, they may be required to significantly increase the cost of the financing that they provide to us. Our lenders also may revise their eligibility requirements for the types of assets they are willing to finance or the terms of such financings, based on, among other factors, the regulatory environment and their management of perceived risk.</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800"/>
          </w:cols>
          <w:pgMar w:left="720" w:top="785" w:right="720" w:bottom="135" w:gutter="0" w:footer="0" w:header="0"/>
        </w:sectPr>
      </w:pPr>
    </w:p>
    <w:bookmarkStart w:id="18" w:name="page19"/>
    <w:bookmarkEnd w:id="18"/>
    <w:p>
      <w:pPr>
        <w:ind w:left="360" w:right="600"/>
        <w:spacing w:after="0" w:line="276" w:lineRule="auto"/>
        <w:rPr>
          <w:sz w:val="20"/>
          <w:szCs w:val="20"/>
          <w:color w:val="auto"/>
        </w:rPr>
      </w:pPr>
      <w:r>
        <w:rPr>
          <w:rFonts w:ascii="Times New Roman" w:cs="Times New Roman" w:eastAsia="Times New Roman" w:hAnsi="Times New Roman"/>
          <w:sz w:val="20"/>
          <w:szCs w:val="20"/>
          <w:i w:val="1"/>
          <w:iCs w:val="1"/>
          <w:color w:val="auto"/>
        </w:rPr>
        <w:t>We may not complete our proposed acquisition of TJIM, and failure to complete the acquisition could negatively affect our business, stock price, and future operations.</w:t>
      </w:r>
    </w:p>
    <w:p>
      <w:pPr>
        <w:spacing w:after="0" w:line="159" w:lineRule="exact"/>
        <w:rPr>
          <w:sz w:val="20"/>
          <w:szCs w:val="20"/>
          <w:color w:val="auto"/>
        </w:rPr>
      </w:pPr>
    </w:p>
    <w:p>
      <w:pPr>
        <w:ind w:right="340" w:firstLine="360"/>
        <w:spacing w:after="0" w:line="252" w:lineRule="auto"/>
        <w:rPr>
          <w:sz w:val="20"/>
          <w:szCs w:val="20"/>
          <w:color w:val="auto"/>
        </w:rPr>
      </w:pPr>
      <w:r>
        <w:rPr>
          <w:rFonts w:ascii="Times New Roman" w:cs="Times New Roman" w:eastAsia="Times New Roman" w:hAnsi="Times New Roman"/>
          <w:sz w:val="20"/>
          <w:szCs w:val="20"/>
          <w:color w:val="auto"/>
        </w:rPr>
        <w:t>On January 13, 2026, we announced that a subsidiary of Bimini Capital entered into an agreement to acquire 80% of the fully diluted equity interests of Tom Johnson Investment Management, LLC, a privately held registered investment adviser (the “TJIM Acquisition”). The TJIM Acquisition is expected to close at the beginning of the second quarter of 2026. However, there can be no assurance that it will be completed on the anticipated timeline, or at all.</w:t>
      </w:r>
    </w:p>
    <w:p>
      <w:pPr>
        <w:spacing w:after="0" w:line="185"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Completion of the TJIM Acquisition is conditioned on the principal seller entering into a new three-year employment agreement with TJIM and is also subject to customary conditions, including the receipt of all necessary regulatory, contractual and other consents, including from TJIM’s existing clients. Many of these conditions are not within our control, and we cannot predict whether or when these conditions will be satisfied.</w:t>
      </w:r>
    </w:p>
    <w:p>
      <w:pPr>
        <w:spacing w:after="0" w:line="184" w:lineRule="exact"/>
        <w:rPr>
          <w:sz w:val="20"/>
          <w:szCs w:val="20"/>
          <w:color w:val="auto"/>
        </w:rPr>
      </w:pPr>
    </w:p>
    <w:p>
      <w:pPr>
        <w:ind w:right="240" w:firstLine="360"/>
        <w:spacing w:after="0" w:line="277" w:lineRule="auto"/>
        <w:rPr>
          <w:sz w:val="20"/>
          <w:szCs w:val="20"/>
          <w:color w:val="auto"/>
        </w:rPr>
      </w:pPr>
      <w:r>
        <w:rPr>
          <w:rFonts w:ascii="Times New Roman" w:cs="Times New Roman" w:eastAsia="Times New Roman" w:hAnsi="Times New Roman"/>
          <w:sz w:val="20"/>
          <w:szCs w:val="20"/>
          <w:color w:val="auto"/>
        </w:rPr>
        <w:t>If for any reason the TJIM Acquisition is not completed on the anticipated timeline, or at all, our business, results of operations, and stock price could be adversely affected in a number of ways, including the following:</w:t>
      </w:r>
    </w:p>
    <w:p>
      <w:pPr>
        <w:spacing w:after="0" w:line="163" w:lineRule="exact"/>
        <w:rPr>
          <w:sz w:val="20"/>
          <w:szCs w:val="20"/>
          <w:color w:val="auto"/>
        </w:rPr>
      </w:pPr>
    </w:p>
    <w:p>
      <w:pPr>
        <w:ind w:left="480" w:right="80" w:hanging="267"/>
        <w:spacing w:after="0" w:line="259" w:lineRule="auto"/>
        <w:tabs>
          <w:tab w:leader="none" w:pos="4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have incurred significant transaction costs, including legal, accounting, financial advisory, and other fees and expenses, in connection with the proposed acquisition, which must be paid regardless of whether the transaction is completed.</w:t>
      </w:r>
    </w:p>
    <w:p>
      <w:pPr>
        <w:ind w:left="480" w:right="40" w:hanging="269"/>
        <w:spacing w:after="0" w:line="243" w:lineRule="auto"/>
        <w:tabs>
          <w:tab w:leader="none" w:pos="4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attention has been, and will continue to be, diverted from day-to-day operations while the acquisition is pending. If the acquisition is not completed, management will have devoted substantial time and resources to a transaction that will not be consummated, which could adversely affect our financial results.</w:t>
      </w:r>
    </w:p>
    <w:p>
      <w:pPr>
        <w:spacing w:after="0" w:line="1" w:lineRule="exact"/>
        <w:rPr>
          <w:rFonts w:ascii="Times New Roman" w:cs="Times New Roman" w:eastAsia="Times New Roman" w:hAnsi="Times New Roman"/>
          <w:sz w:val="20"/>
          <w:szCs w:val="20"/>
          <w:color w:val="auto"/>
        </w:rPr>
      </w:pPr>
    </w:p>
    <w:p>
      <w:pPr>
        <w:jc w:val="both"/>
        <w:ind w:left="480" w:right="440" w:hanging="268"/>
        <w:spacing w:after="0" w:line="243" w:lineRule="auto"/>
        <w:tabs>
          <w:tab w:leader="none" w:pos="4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announced the TJIM Acquisition as a strategic step to transition Bimini into a pure asset management firm with a more diverse mix of assets under management. If the acquisition is not completed, we may not be able to realize these anticipated strategic benefits or may need to pursue alternative strategies that may be less favorable or more costly.</w:t>
      </w:r>
    </w:p>
    <w:p>
      <w:pPr>
        <w:spacing w:after="0" w:line="1" w:lineRule="exact"/>
        <w:rPr>
          <w:rFonts w:ascii="Times New Roman" w:cs="Times New Roman" w:eastAsia="Times New Roman" w:hAnsi="Times New Roman"/>
          <w:sz w:val="20"/>
          <w:szCs w:val="20"/>
          <w:color w:val="auto"/>
        </w:rPr>
      </w:pPr>
    </w:p>
    <w:p>
      <w:pPr>
        <w:ind w:left="480" w:right="320" w:hanging="261"/>
        <w:spacing w:after="0" w:line="250" w:lineRule="auto"/>
        <w:tabs>
          <w:tab w:leader="none" w:pos="4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complete the acquisition could result in negative publicity and negatively impact our reputation in the marketplace, which could make it more difficult for us to pursue similar strategic transactions in the future.</w:t>
      </w:r>
    </w:p>
    <w:p>
      <w:pPr>
        <w:spacing w:after="0" w:line="189" w:lineRule="exact"/>
        <w:rPr>
          <w:sz w:val="20"/>
          <w:szCs w:val="20"/>
          <w:color w:val="auto"/>
        </w:rPr>
      </w:pPr>
    </w:p>
    <w:p>
      <w:pPr>
        <w:jc w:val="both"/>
        <w:ind w:right="60" w:firstLine="360"/>
        <w:spacing w:after="0" w:line="258" w:lineRule="auto"/>
        <w:rPr>
          <w:sz w:val="20"/>
          <w:szCs w:val="20"/>
          <w:color w:val="auto"/>
        </w:rPr>
      </w:pPr>
      <w:r>
        <w:rPr>
          <w:rFonts w:ascii="Times New Roman" w:cs="Times New Roman" w:eastAsia="Times New Roman" w:hAnsi="Times New Roman"/>
          <w:sz w:val="20"/>
          <w:szCs w:val="20"/>
          <w:color w:val="auto"/>
        </w:rPr>
        <w:t>Additionally, the market price of our common stock may decline to the extent that the current market price of our shares reflects a market assumption that the acquisition will be completed and the anticipated benefits will be realized. More information regarding the proposed acquisition can be found in the Company’s Current Report on Form 8-K filed with the SEC on January 14, 2026.</w:t>
      </w:r>
    </w:p>
    <w:p>
      <w:pPr>
        <w:spacing w:after="0" w:line="181" w:lineRule="exact"/>
        <w:rPr>
          <w:sz w:val="20"/>
          <w:szCs w:val="20"/>
          <w:color w:val="auto"/>
        </w:rPr>
      </w:pPr>
    </w:p>
    <w:p>
      <w:pPr>
        <w:ind w:right="140" w:firstLine="360"/>
        <w:spacing w:after="0" w:line="275" w:lineRule="auto"/>
        <w:rPr>
          <w:sz w:val="20"/>
          <w:szCs w:val="20"/>
          <w:color w:val="auto"/>
        </w:rPr>
      </w:pPr>
      <w:r>
        <w:rPr>
          <w:rFonts w:ascii="Times New Roman" w:cs="Times New Roman" w:eastAsia="Times New Roman" w:hAnsi="Times New Roman"/>
          <w:sz w:val="20"/>
          <w:szCs w:val="20"/>
          <w:i w:val="1"/>
          <w:iCs w:val="1"/>
          <w:color w:val="auto"/>
        </w:rPr>
        <w:t>Even if we complete the TJIM Acquisition, we may not realize the anticipated benefits of the acquisition, and the acquisition may disrupt our current operations or expose us to additional risks.</w:t>
      </w:r>
    </w:p>
    <w:p>
      <w:pPr>
        <w:spacing w:after="0" w:line="161" w:lineRule="exact"/>
        <w:rPr>
          <w:sz w:val="20"/>
          <w:szCs w:val="20"/>
          <w:color w:val="auto"/>
        </w:rPr>
      </w:pPr>
    </w:p>
    <w:p>
      <w:pPr>
        <w:ind w:right="280" w:firstLine="360"/>
        <w:spacing w:after="0" w:line="277" w:lineRule="auto"/>
        <w:rPr>
          <w:sz w:val="20"/>
          <w:szCs w:val="20"/>
          <w:color w:val="auto"/>
        </w:rPr>
      </w:pPr>
      <w:r>
        <w:rPr>
          <w:rFonts w:ascii="Times New Roman" w:cs="Times New Roman" w:eastAsia="Times New Roman" w:hAnsi="Times New Roman"/>
          <w:sz w:val="20"/>
          <w:szCs w:val="20"/>
          <w:color w:val="auto"/>
        </w:rPr>
        <w:t>Assuming the TJIM Acquisition is completed, we will face a number of risks that could adversely affect our business, financial condition, and results of operations.</w:t>
      </w:r>
    </w:p>
    <w:p>
      <w:pPr>
        <w:spacing w:after="0" w:line="159" w:lineRule="exact"/>
        <w:rPr>
          <w:sz w:val="20"/>
          <w:szCs w:val="20"/>
          <w:color w:val="auto"/>
        </w:rPr>
      </w:pPr>
    </w:p>
    <w:p>
      <w:pPr>
        <w:ind w:right="100" w:firstLine="360"/>
        <w:spacing w:after="0" w:line="249" w:lineRule="auto"/>
        <w:rPr>
          <w:sz w:val="20"/>
          <w:szCs w:val="20"/>
          <w:color w:val="auto"/>
        </w:rPr>
      </w:pPr>
      <w:r>
        <w:rPr>
          <w:rFonts w:ascii="Times New Roman" w:cs="Times New Roman" w:eastAsia="Times New Roman" w:hAnsi="Times New Roman"/>
          <w:sz w:val="20"/>
          <w:szCs w:val="20"/>
          <w:color w:val="auto"/>
        </w:rPr>
        <w:t>We announced the acquisition as a strategic step to transition Bimini into a pure asset management firm with a more diverse mix of assets under management, and we anticipate that the Company (including TJIM) will realize other benefits from the transaction. However, there can be no assurance that we will be able to successfully realize these anticipated strategic and financial benefits. If we are unable to achieve our strategic objectives following the acquisition, we may not realize a satisfactory return on our investment, which could adversely affect our business, financial condition, and results of operations.</w:t>
      </w:r>
    </w:p>
    <w:p>
      <w:pPr>
        <w:spacing w:after="0" w:line="187" w:lineRule="exact"/>
        <w:rPr>
          <w:sz w:val="20"/>
          <w:szCs w:val="20"/>
          <w:color w:val="auto"/>
        </w:rPr>
      </w:pPr>
    </w:p>
    <w:p>
      <w:pPr>
        <w:ind w:right="100" w:firstLine="360"/>
        <w:spacing w:after="0" w:line="247" w:lineRule="auto"/>
        <w:rPr>
          <w:sz w:val="20"/>
          <w:szCs w:val="20"/>
          <w:color w:val="auto"/>
        </w:rPr>
      </w:pPr>
      <w:r>
        <w:rPr>
          <w:rFonts w:ascii="Times New Roman" w:cs="Times New Roman" w:eastAsia="Times New Roman" w:hAnsi="Times New Roman"/>
          <w:sz w:val="20"/>
          <w:szCs w:val="20"/>
          <w:color w:val="auto"/>
        </w:rPr>
        <w:t>The success of the acquisition depends in part on retaining TJIM's existing management team and key employees, including TJIM’s principal seller. Although completion of the acquisition is conditioned on the principal seller entering into a new three-year employment agreement with TJIM and certain other key employees entering into employment agreements with TJIM, there can be no assurance that he or other key employees will remain with TJIM following the acquisition or the expiration of any employment agreement. The loss of key personnel could materially and adversely affect TJIM's investment performance and client relationships, and therefore our return on investment in TJIM.</w:t>
      </w:r>
    </w:p>
    <w:p>
      <w:pPr>
        <w:spacing w:after="0" w:line="189" w:lineRule="exact"/>
        <w:rPr>
          <w:sz w:val="20"/>
          <w:szCs w:val="20"/>
          <w:color w:val="auto"/>
        </w:rPr>
      </w:pPr>
    </w:p>
    <w:p>
      <w:pPr>
        <w:ind w:right="240" w:firstLine="360"/>
        <w:spacing w:after="0" w:line="258" w:lineRule="auto"/>
        <w:rPr>
          <w:sz w:val="20"/>
          <w:szCs w:val="20"/>
          <w:color w:val="auto"/>
        </w:rPr>
      </w:pPr>
      <w:r>
        <w:rPr>
          <w:rFonts w:ascii="Times New Roman" w:cs="Times New Roman" w:eastAsia="Times New Roman" w:hAnsi="Times New Roman"/>
          <w:sz w:val="20"/>
          <w:szCs w:val="20"/>
          <w:color w:val="auto"/>
        </w:rPr>
        <w:t>Clients of TJIM may choose to terminate their advisory relationships with TJIM prior to or following the closing of the acquisition. Loss of a significant portion of TJIM's client base or assets under management could materially and adversely affect the financial performance of TJIM and therefore our return on investment and results of operation.</w:t>
      </w:r>
    </w:p>
    <w:p>
      <w:pPr>
        <w:spacing w:after="0" w:line="17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The purchase price for the acquisition is based on a multiple of TJIM's revenue, with up to $12,000,000 of the purchase price</w:t>
      </w:r>
    </w:p>
    <w:p>
      <w:pPr>
        <w:spacing w:after="0" w:line="27"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20"/>
          <w:szCs w:val="20"/>
          <w:color w:val="auto"/>
        </w:rPr>
        <w:t>payable at closing, 12.5% of which is to be held in escrow to secure the seller parties’ indemnification obligations and the Company’s right to any applicable post-closing purchase price adjustment. The remaining portion of the purchase price, if any, will be paid over the next one to three years following closing (depending on the total purchase price). In addition, the transaction agreements include mutual put and call rights that could result in our acquisition of the remaining 20% equity interest retained by the sellers. These future payment obligations could strain our financial resources and limit our ability to pursue other strategic opportunities.</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820"/>
          </w:cols>
          <w:pgMar w:left="700" w:top="787" w:right="720" w:bottom="135" w:gutter="0" w:footer="0" w:header="0"/>
        </w:sectPr>
      </w:pPr>
    </w:p>
    <w:bookmarkStart w:id="19" w:name="page20"/>
    <w:bookmarkEnd w:id="19"/>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Integration of TJIM's operations, technology systems, personnel, and business processes may be complex, time-consuming, and expensive. The integration process could disrupt both companies' ongoing businesses and divert management attention from day-to-day operations, which could harm our business and financial results. We may also encounter unforeseen difficulties, costs, or delays in connection with the integration.</w:t>
      </w:r>
    </w:p>
    <w:p>
      <w:pPr>
        <w:spacing w:after="0" w:line="187" w:lineRule="exact"/>
        <w:rPr>
          <w:sz w:val="20"/>
          <w:szCs w:val="20"/>
          <w:color w:val="auto"/>
        </w:rPr>
      </w:pPr>
    </w:p>
    <w:p>
      <w:pPr>
        <w:jc w:val="both"/>
        <w:ind w:left="380" w:right="160"/>
        <w:spacing w:after="0" w:line="257" w:lineRule="auto"/>
        <w:rPr>
          <w:sz w:val="20"/>
          <w:szCs w:val="20"/>
          <w:color w:val="auto"/>
        </w:rPr>
      </w:pPr>
      <w:r>
        <w:rPr>
          <w:rFonts w:ascii="Times New Roman" w:cs="Times New Roman" w:eastAsia="Times New Roman" w:hAnsi="Times New Roman"/>
          <w:sz w:val="20"/>
          <w:szCs w:val="20"/>
          <w:i w:val="1"/>
          <w:iCs w:val="1"/>
          <w:color w:val="auto"/>
        </w:rPr>
        <w:t>Adverse market developments could cause our lenders to require us to pledge additional assets as collateral. If our assets were insufficient to meet these collateral requirements, we might be compelled to liquidate particular assets at inopportune times and at unfavorable prices, which could materially adversely affect our business, financial condition and results of operations.</w:t>
      </w:r>
    </w:p>
    <w:p>
      <w:pPr>
        <w:spacing w:after="0" w:line="179" w:lineRule="exact"/>
        <w:rPr>
          <w:sz w:val="20"/>
          <w:szCs w:val="20"/>
          <w:color w:val="auto"/>
        </w:rPr>
      </w:pPr>
    </w:p>
    <w:p>
      <w:pPr>
        <w:ind w:left="20" w:firstLine="360"/>
        <w:spacing w:after="0" w:line="243" w:lineRule="auto"/>
        <w:rPr>
          <w:sz w:val="20"/>
          <w:szCs w:val="20"/>
          <w:color w:val="auto"/>
        </w:rPr>
      </w:pPr>
      <w:r>
        <w:rPr>
          <w:rFonts w:ascii="Times New Roman" w:cs="Times New Roman" w:eastAsia="Times New Roman" w:hAnsi="Times New Roman"/>
          <w:sz w:val="20"/>
          <w:szCs w:val="20"/>
          <w:color w:val="auto"/>
        </w:rPr>
        <w:t>Adverse market developments, including a sharp or prolonged rise in interest rates, a change in prepayment rates or increasing market concern about the value or liquidity of one or more types of Agency MBS, might reduce the market value of our portfolio, which might cause our lenders to initiate margin calls. The specific collateral value to borrowing ratio that would trigger a margin call is not set in the master repurchase agreements and not determined until we engage in a repo transaction under these agreements. Our fixed-rate Agency MBS generally are more susceptible to margin calls as increases in interest rates tend to more negatively affect the market value of fixed- rate securities. The threat or occurrence of a margin call could force us to sell, either directly or if we are unable to satisfy such margin call through a foreclosure, our Agency MBS under adverse market conditions. Because of the significant leverage we have and expect to have, we may incur substantial losses upon the threat or occurrence of a margin call, which could materially adversely affect our business, financial condition and results of operations. We have sold Agency MBS to satisfy margin calls in the past in adverse market conditions. These sales have, and may in the future, cause us to realize losses. This risk is magnified given that the Company’s equity capital, particularly its tangible equity, is relatively small.</w:t>
      </w:r>
    </w:p>
    <w:p>
      <w:pPr>
        <w:spacing w:after="0" w:line="201" w:lineRule="exact"/>
        <w:rPr>
          <w:sz w:val="20"/>
          <w:szCs w:val="20"/>
          <w:color w:val="auto"/>
        </w:rPr>
      </w:pPr>
    </w:p>
    <w:p>
      <w:pPr>
        <w:ind w:left="380" w:right="440"/>
        <w:spacing w:after="0" w:line="276" w:lineRule="auto"/>
        <w:rPr>
          <w:sz w:val="20"/>
          <w:szCs w:val="20"/>
          <w:color w:val="auto"/>
        </w:rPr>
      </w:pPr>
      <w:r>
        <w:rPr>
          <w:rFonts w:ascii="Times New Roman" w:cs="Times New Roman" w:eastAsia="Times New Roman" w:hAnsi="Times New Roman"/>
          <w:sz w:val="20"/>
          <w:szCs w:val="20"/>
          <w:i w:val="1"/>
          <w:iCs w:val="1"/>
          <w:color w:val="auto"/>
        </w:rPr>
        <w:t>Hedging against interest rate exposure may not completely insulate us from interest rate risk and could materially adversely affect our business, financial condition and results of operations.</w:t>
      </w:r>
    </w:p>
    <w:p>
      <w:pPr>
        <w:spacing w:after="0" w:line="159" w:lineRule="exact"/>
        <w:rPr>
          <w:sz w:val="20"/>
          <w:szCs w:val="20"/>
          <w:color w:val="auto"/>
        </w:rPr>
      </w:pPr>
    </w:p>
    <w:p>
      <w:pPr>
        <w:ind w:left="20" w:right="20" w:firstLine="360"/>
        <w:spacing w:after="0" w:line="247" w:lineRule="auto"/>
        <w:rPr>
          <w:sz w:val="20"/>
          <w:szCs w:val="20"/>
          <w:color w:val="auto"/>
        </w:rPr>
      </w:pPr>
      <w:r>
        <w:rPr>
          <w:rFonts w:ascii="Times New Roman" w:cs="Times New Roman" w:eastAsia="Times New Roman" w:hAnsi="Times New Roman"/>
          <w:sz w:val="20"/>
          <w:szCs w:val="20"/>
          <w:color w:val="auto"/>
        </w:rPr>
        <w:t>We may enter into interest rate cap or swap agreements or pursue other hedging strategies, including the purchase of puts, calls or other options and futures contracts in order to hedge the interest rate risk of our portfolio. In general, our hedging strategy depends on our view of our entire portfolio consisting of assets, liabilities and derivative instruments, in light of prevailing market conditions. We could misjudge the condition of our investment portfolio or the market. Our hedging activity will vary in scope based on the level and volatility of interest rates and principal prepayments, the type of Agency MBS we hold and other changing market conditions. Hedging may fail to protect or could adversely affect us because, among other things:</w:t>
      </w:r>
    </w:p>
    <w:p>
      <w:pPr>
        <w:spacing w:after="0" w:line="194" w:lineRule="exact"/>
        <w:rPr>
          <w:sz w:val="20"/>
          <w:szCs w:val="20"/>
          <w:color w:val="auto"/>
        </w:rPr>
      </w:pPr>
    </w:p>
    <w:p>
      <w:pPr>
        <w:ind w:left="1100" w:hanging="350"/>
        <w:spacing w:after="0"/>
        <w:tabs>
          <w:tab w:leader="none" w:pos="11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hedging can be expensive, particularly during periods of rising and volatile interest rates;</w:t>
      </w:r>
    </w:p>
    <w:p>
      <w:pPr>
        <w:spacing w:after="0" w:line="36" w:lineRule="exact"/>
        <w:rPr>
          <w:rFonts w:ascii="Times New Roman" w:cs="Times New Roman" w:eastAsia="Times New Roman" w:hAnsi="Times New Roman"/>
          <w:sz w:val="20"/>
          <w:szCs w:val="20"/>
          <w:color w:val="auto"/>
        </w:rPr>
      </w:pPr>
    </w:p>
    <w:p>
      <w:pPr>
        <w:ind w:left="1100" w:hanging="350"/>
        <w:spacing w:after="0"/>
        <w:tabs>
          <w:tab w:leader="none" w:pos="11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available interest rate hedging may not correspond directly with the interest rate risk for which protection is sought;</w:t>
      </w:r>
    </w:p>
    <w:p>
      <w:pPr>
        <w:spacing w:after="0" w:line="10" w:lineRule="exact"/>
        <w:rPr>
          <w:rFonts w:ascii="Times New Roman" w:cs="Times New Roman" w:eastAsia="Times New Roman" w:hAnsi="Times New Roman"/>
          <w:sz w:val="20"/>
          <w:szCs w:val="20"/>
          <w:color w:val="auto"/>
        </w:rPr>
      </w:pPr>
    </w:p>
    <w:p>
      <w:pPr>
        <w:ind w:left="1100" w:hanging="350"/>
        <w:spacing w:after="0"/>
        <w:tabs>
          <w:tab w:leader="none" w:pos="11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duration of the hedge may not match the duration of the related liability;</w:t>
      </w:r>
    </w:p>
    <w:p>
      <w:pPr>
        <w:spacing w:after="0" w:line="10" w:lineRule="exact"/>
        <w:rPr>
          <w:rFonts w:ascii="Times New Roman" w:cs="Times New Roman" w:eastAsia="Times New Roman" w:hAnsi="Times New Roman"/>
          <w:sz w:val="20"/>
          <w:szCs w:val="20"/>
          <w:color w:val="auto"/>
        </w:rPr>
      </w:pPr>
    </w:p>
    <w:p>
      <w:pPr>
        <w:ind w:left="1100" w:hanging="350"/>
        <w:spacing w:after="0"/>
        <w:tabs>
          <w:tab w:leader="none" w:pos="11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types of hedges may expose us to risk of loss beyond the fee paid to initiate the hedge;</w:t>
      </w:r>
    </w:p>
    <w:p>
      <w:pPr>
        <w:spacing w:after="0" w:line="10" w:lineRule="exact"/>
        <w:rPr>
          <w:rFonts w:ascii="Times New Roman" w:cs="Times New Roman" w:eastAsia="Times New Roman" w:hAnsi="Times New Roman"/>
          <w:sz w:val="20"/>
          <w:szCs w:val="20"/>
          <w:color w:val="auto"/>
        </w:rPr>
      </w:pPr>
    </w:p>
    <w:p>
      <w:pPr>
        <w:ind w:left="1100" w:right="40" w:hanging="350"/>
        <w:spacing w:after="0" w:line="244" w:lineRule="auto"/>
        <w:tabs>
          <w:tab w:leader="none" w:pos="11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quality of the counterparty on the hedge may be downgraded to such an extent that it impairs our ability to sell or assign our side of the hedging transaction; and</w:t>
      </w:r>
    </w:p>
    <w:p>
      <w:pPr>
        <w:spacing w:after="0" w:line="1" w:lineRule="exact"/>
        <w:rPr>
          <w:rFonts w:ascii="Times New Roman" w:cs="Times New Roman" w:eastAsia="Times New Roman" w:hAnsi="Times New Roman"/>
          <w:sz w:val="20"/>
          <w:szCs w:val="20"/>
          <w:color w:val="auto"/>
        </w:rPr>
      </w:pPr>
    </w:p>
    <w:p>
      <w:pPr>
        <w:ind w:left="1100" w:right="180" w:hanging="350"/>
        <w:spacing w:after="0" w:line="250" w:lineRule="auto"/>
        <w:tabs>
          <w:tab w:leader="none" w:pos="11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counterparty in the hedging transaction may fail to perform under our hedging instruments, including by defaulting on its obligation to pay.</w:t>
      </w:r>
    </w:p>
    <w:p>
      <w:pPr>
        <w:spacing w:after="0" w:line="189" w:lineRule="exact"/>
        <w:rPr>
          <w:sz w:val="20"/>
          <w:szCs w:val="20"/>
          <w:color w:val="auto"/>
        </w:rPr>
      </w:pPr>
    </w:p>
    <w:p>
      <w:pPr>
        <w:ind w:left="20" w:firstLine="360"/>
        <w:spacing w:after="0" w:line="246" w:lineRule="auto"/>
        <w:rPr>
          <w:sz w:val="20"/>
          <w:szCs w:val="20"/>
          <w:color w:val="auto"/>
        </w:rPr>
      </w:pPr>
      <w:r>
        <w:rPr>
          <w:rFonts w:ascii="Times New Roman" w:cs="Times New Roman" w:eastAsia="Times New Roman" w:hAnsi="Times New Roman"/>
          <w:sz w:val="20"/>
          <w:szCs w:val="20"/>
          <w:color w:val="auto"/>
        </w:rPr>
        <w:t>There are no perfect hedging strategies, and interest rate hedging strategies deployed by us have failed, and strategies deployed by us may fail in the future, to protect us from loss. Alternatively, we may fail to properly assess a risk to our investment portfolio or may fail to recognize a risk entirely, leaving us exposed to losses without the benefit of any offsetting hedging activities. The derivative financial instruments we select may not have the effect of reducing our interest rate risk. The nature and timing of hedging transactions may influence the effectiveness of these strategies. Poorly designed strategies or improperly executed transactions could actually increase our risk and losses. In addition, hedging activities could result in losses if the event against which we hedge does not occur. These risks are magnified given that the Company’s equity capital, particularly its tangible equity, is relatively small.</w:t>
      </w:r>
    </w:p>
    <w:p>
      <w:pPr>
        <w:spacing w:after="0" w:line="191" w:lineRule="exact"/>
        <w:rPr>
          <w:sz w:val="20"/>
          <w:szCs w:val="20"/>
          <w:color w:val="auto"/>
        </w:rPr>
      </w:pPr>
    </w:p>
    <w:p>
      <w:pPr>
        <w:ind w:left="20" w:right="40" w:firstLine="360"/>
        <w:spacing w:after="0" w:line="277" w:lineRule="auto"/>
        <w:rPr>
          <w:sz w:val="20"/>
          <w:szCs w:val="20"/>
          <w:color w:val="auto"/>
        </w:rPr>
      </w:pPr>
      <w:r>
        <w:rPr>
          <w:rFonts w:ascii="Times New Roman" w:cs="Times New Roman" w:eastAsia="Times New Roman" w:hAnsi="Times New Roman"/>
          <w:sz w:val="20"/>
          <w:szCs w:val="20"/>
          <w:color w:val="auto"/>
        </w:rPr>
        <w:t>Because of the foregoing risks, our hedging activity could materially adversely affect our business, financial condition and results of operations.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Our use of certain hedging techniques may expose us to counterparty risks.</w:t>
      </w:r>
    </w:p>
    <w:p>
      <w:pPr>
        <w:spacing w:after="0" w:line="229" w:lineRule="exact"/>
        <w:rPr>
          <w:sz w:val="20"/>
          <w:szCs w:val="20"/>
          <w:color w:val="auto"/>
        </w:rPr>
      </w:pPr>
    </w:p>
    <w:p>
      <w:pPr>
        <w:ind w:left="20" w:firstLine="360"/>
        <w:spacing w:after="0" w:line="247" w:lineRule="auto"/>
        <w:rPr>
          <w:sz w:val="20"/>
          <w:szCs w:val="20"/>
          <w:color w:val="auto"/>
        </w:rPr>
      </w:pPr>
      <w:r>
        <w:rPr>
          <w:rFonts w:ascii="Times New Roman" w:cs="Times New Roman" w:eastAsia="Times New Roman" w:hAnsi="Times New Roman"/>
          <w:sz w:val="20"/>
          <w:szCs w:val="20"/>
          <w:color w:val="auto"/>
        </w:rPr>
        <w:t>To the extent that our hedging instruments are not traded on regulated exchanges, guaranteed by an exchange or its clearinghouse, or regulated by any U.S. or foreign governmental authorities, there may not be requirements with respect to record keeping, financial responsibility or segregation of customer funds and positions. Furthermore, the enforceability of agreements underlying hedging transactions may depend on compliance with applicable statutory, exchange and other regulatory requirements and, depending on the domicile of the counterparty, applicable international requirements. Consequently, if any of these issues causes a counterparty to fail to perform under a derivative agreement we could incur a significant loss.</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800"/>
          </w:cols>
          <w:pgMar w:left="700" w:top="785" w:right="740" w:bottom="135" w:gutter="0" w:footer="0" w:header="0"/>
        </w:sectPr>
      </w:pPr>
    </w:p>
    <w:bookmarkStart w:id="20" w:name="page21"/>
    <w:bookmarkEnd w:id="20"/>
    <w:p>
      <w:pPr>
        <w:ind w:firstLine="360"/>
        <w:spacing w:after="0" w:line="247" w:lineRule="auto"/>
        <w:rPr>
          <w:sz w:val="20"/>
          <w:szCs w:val="20"/>
          <w:color w:val="auto"/>
        </w:rPr>
      </w:pPr>
      <w:r>
        <w:rPr>
          <w:rFonts w:ascii="Times New Roman" w:cs="Times New Roman" w:eastAsia="Times New Roman" w:hAnsi="Times New Roman"/>
          <w:sz w:val="20"/>
          <w:szCs w:val="20"/>
          <w:color w:val="auto"/>
        </w:rPr>
        <w:t>For example, if a swap exchange utilized in an interest rate swap agreement that we enter into as part of our hedging strategy cannot perform under the terms of the interest rate swap agreement, we may not receive payments due under that agreement, and, thus, we may lose any potential benefit associated with the interest rate swap. Additionally, we may also risk the loss of any collateral we have pledged to secure our obligations under these swap agreements if the exchange becomes insolvent or files for bankruptcy. Similarly, if an interest rate swaption counterparty fails to perform under the terms of the interest rate swaption agreement, in addition to not being able to exercise or otherwise cash settle the agreement, we could also incur a loss for the premium paid for that swaption.</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Our use of leverage could materially adversely affect our business, financial condition and results of operations.</w:t>
      </w:r>
    </w:p>
    <w:p>
      <w:pPr>
        <w:spacing w:after="0" w:line="228"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19"/>
          <w:szCs w:val="19"/>
          <w:color w:val="auto"/>
        </w:rPr>
        <w:t>We incur indebtedness by borrowing against a substantial portion of the market value of our PT Agency MBS and a portion of our structured Agency MBS. Our total indebtedness, however, is not expressly limited by our policies and will depend on our prospective lenders’ estimates of the stability of our portfolio’s cash flow. As a result, there is no limit on the amount of leverage that we may incur. We face the risk that we might not be able to meet our debt service obligations or a lender’s margin requirements from our income and, to the extent we cannot, we might be forced to liquidate some of our Agency MBS at unfavorable prices. Our use of leverage could materially adversely affect our business, financial condition and results of operations. For example, a decline in the market value of the PT Agency MBS or structured Agency MBS used to secure our debt obligations could limit our ability to borrow or result in lenders requiring us to pledge additional collateral to secure our borrowings. In that situation, we could be required to sell Agency MBS under adverse market conditions in order to obtain the additional collateral required by the lender. If these sales are made at prices lower than the carrying value of the Agency MBS, we would experience losses. If we experience losses as a result of our use of leverage, such losses could materially adversely affect our business, results of operations and financial condition.</w:t>
      </w:r>
    </w:p>
    <w:p>
      <w:pPr>
        <w:spacing w:after="0" w:line="179" w:lineRule="exact"/>
        <w:rPr>
          <w:sz w:val="20"/>
          <w:szCs w:val="20"/>
          <w:color w:val="auto"/>
        </w:rPr>
      </w:pPr>
    </w:p>
    <w:p>
      <w:pPr>
        <w:ind w:left="360" w:right="100"/>
        <w:spacing w:after="0" w:line="257" w:lineRule="auto"/>
        <w:rPr>
          <w:sz w:val="20"/>
          <w:szCs w:val="20"/>
          <w:color w:val="auto"/>
        </w:rPr>
      </w:pPr>
      <w:r>
        <w:rPr>
          <w:rFonts w:ascii="Times New Roman" w:cs="Times New Roman" w:eastAsia="Times New Roman" w:hAnsi="Times New Roman"/>
          <w:sz w:val="20"/>
          <w:szCs w:val="20"/>
          <w:i w:val="1"/>
          <w:iCs w:val="1"/>
          <w:color w:val="auto"/>
        </w:rPr>
        <w:t>Volatile market conditions for mortgages and mortgage-related assets as well as the broader financial markets can result in a significant contraction in liquidity for mortgages and mortgage-related assets, which may adversely affect the value of the assets in which we invest.</w:t>
      </w:r>
    </w:p>
    <w:p>
      <w:pPr>
        <w:spacing w:after="0" w:line="180" w:lineRule="exact"/>
        <w:rPr>
          <w:sz w:val="20"/>
          <w:szCs w:val="20"/>
          <w:color w:val="auto"/>
        </w:rPr>
      </w:pPr>
    </w:p>
    <w:p>
      <w:pPr>
        <w:ind w:right="780" w:firstLine="360"/>
        <w:spacing w:after="0" w:line="277" w:lineRule="auto"/>
        <w:rPr>
          <w:sz w:val="20"/>
          <w:szCs w:val="20"/>
          <w:color w:val="auto"/>
        </w:rPr>
      </w:pPr>
      <w:r>
        <w:rPr>
          <w:rFonts w:ascii="Times New Roman" w:cs="Times New Roman" w:eastAsia="Times New Roman" w:hAnsi="Times New Roman"/>
          <w:sz w:val="20"/>
          <w:szCs w:val="20"/>
          <w:color w:val="auto"/>
        </w:rPr>
        <w:t>Our results of operations are materially affected by conditions in the markets for mortgages and mortgage-related assets, including Agency MBS, as well as the broader financial markets and the economy generally.</w:t>
      </w:r>
    </w:p>
    <w:p>
      <w:pPr>
        <w:spacing w:after="0" w:line="159" w:lineRule="exact"/>
        <w:rPr>
          <w:sz w:val="20"/>
          <w:szCs w:val="20"/>
          <w:color w:val="auto"/>
        </w:rPr>
      </w:pPr>
    </w:p>
    <w:p>
      <w:pPr>
        <w:ind w:firstLine="360"/>
        <w:spacing w:after="0" w:line="247" w:lineRule="auto"/>
        <w:rPr>
          <w:sz w:val="20"/>
          <w:szCs w:val="20"/>
          <w:color w:val="auto"/>
        </w:rPr>
      </w:pPr>
      <w:r>
        <w:rPr>
          <w:rFonts w:ascii="Times New Roman" w:cs="Times New Roman" w:eastAsia="Times New Roman" w:hAnsi="Times New Roman"/>
          <w:sz w:val="20"/>
          <w:szCs w:val="20"/>
          <w:color w:val="auto"/>
        </w:rPr>
        <w:t>Significant adverse changes in financial market conditions can result in a deleveraging of the global financial system and the forced sale of large quantities of mortgage-related and other financial assets. Concerns over high interest rates, inflation, economic recession, geopolitical issues including events such as global pandemics, the conflicts in Ukraine and the Middle East, policy priorities of the U.S. presidential administration, trade wars, unemployment, the availability and cost of financing, the mortgage market and a declining real estate market or prolonged government shutdown have in the past contributed, and may contribute in the future, to increased volatility and diminished expectations for the economy and markets.</w:t>
      </w:r>
    </w:p>
    <w:p>
      <w:pPr>
        <w:spacing w:after="0" w:line="189" w:lineRule="exact"/>
        <w:rPr>
          <w:sz w:val="20"/>
          <w:szCs w:val="20"/>
          <w:color w:val="auto"/>
        </w:rPr>
      </w:pPr>
    </w:p>
    <w:p>
      <w:pPr>
        <w:ind w:right="60" w:firstLine="360"/>
        <w:spacing w:after="0" w:line="247" w:lineRule="auto"/>
        <w:rPr>
          <w:sz w:val="20"/>
          <w:szCs w:val="20"/>
          <w:color w:val="auto"/>
        </w:rPr>
      </w:pPr>
      <w:r>
        <w:rPr>
          <w:rFonts w:ascii="Times New Roman" w:cs="Times New Roman" w:eastAsia="Times New Roman" w:hAnsi="Times New Roman"/>
          <w:sz w:val="20"/>
          <w:szCs w:val="20"/>
          <w:color w:val="auto"/>
        </w:rPr>
        <w:t>Increased volatility and deterioration in the markets for mortgages and mortgage-related assets as well as the broader financial markets have in the past adversely affected, and may adversely affect in the future, the performance and market value of our Agency MBS and our investment in Orchid common stock. If these conditions exist, institutions from which we seek financing for our investments may tighten their lending standards, increase margin calls or become insolvent, which could make it more difficult for us to obtain financing on favorable terms or at all. Our profitability and financial condition may be adversely affected if we are unable to obtain cost-effective financing for our investments.</w:t>
      </w:r>
    </w:p>
    <w:p>
      <w:pPr>
        <w:spacing w:after="0" w:line="193" w:lineRule="exact"/>
        <w:rPr>
          <w:sz w:val="20"/>
          <w:szCs w:val="20"/>
          <w:color w:val="auto"/>
        </w:rPr>
      </w:pPr>
    </w:p>
    <w:p>
      <w:pPr>
        <w:ind w:left="360" w:right="100"/>
        <w:spacing w:after="0" w:line="275" w:lineRule="auto"/>
        <w:rPr>
          <w:sz w:val="20"/>
          <w:szCs w:val="20"/>
          <w:color w:val="auto"/>
        </w:rPr>
      </w:pPr>
      <w:r>
        <w:rPr>
          <w:rFonts w:ascii="Times New Roman" w:cs="Times New Roman" w:eastAsia="Times New Roman" w:hAnsi="Times New Roman"/>
          <w:sz w:val="20"/>
          <w:szCs w:val="20"/>
          <w:i w:val="1"/>
          <w:iCs w:val="1"/>
          <w:color w:val="auto"/>
        </w:rPr>
        <w:t>Our forward settling transactions, including TBA transactions, subject us to certain risks, including price risks and counterparty risks.</w:t>
      </w:r>
    </w:p>
    <w:p>
      <w:pPr>
        <w:spacing w:after="0" w:line="161" w:lineRule="exact"/>
        <w:rPr>
          <w:sz w:val="20"/>
          <w:szCs w:val="20"/>
          <w:color w:val="auto"/>
        </w:rPr>
      </w:pPr>
    </w:p>
    <w:p>
      <w:pPr>
        <w:ind w:right="140" w:firstLine="360"/>
        <w:spacing w:after="0" w:line="254" w:lineRule="auto"/>
        <w:rPr>
          <w:sz w:val="20"/>
          <w:szCs w:val="20"/>
          <w:color w:val="auto"/>
        </w:rPr>
      </w:pPr>
      <w:r>
        <w:rPr>
          <w:rFonts w:ascii="Times New Roman" w:cs="Times New Roman" w:eastAsia="Times New Roman" w:hAnsi="Times New Roman"/>
          <w:sz w:val="20"/>
          <w:szCs w:val="20"/>
          <w:color w:val="auto"/>
        </w:rPr>
        <w:t>We purchase some of our Agency MBS through forward settling transactions, including TBAs. In a forward settling transaction, we enter into a forward purchase agreement with a counterparty to purchase either (i) an identified Agency MBS, or (ii) a</w:t>
      </w:r>
    </w:p>
    <w:p>
      <w:pPr>
        <w:spacing w:after="0" w:line="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TBA Agency MBS with certain terms. As with any forward purchase contract, the value of the underlying Agency MBS may decrease between the trade date and the settlement date. Furthermore, a transaction counterparty may fail to deliver the underlying Agency MBS at the settlement date. If any of these risks were to occur, our financial condition and results of operations may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780"/>
          </w:cols>
          <w:pgMar w:left="720" w:top="785" w:right="740" w:bottom="135" w:gutter="0" w:footer="0" w:header="0"/>
        </w:sectPr>
      </w:pPr>
    </w:p>
    <w:bookmarkStart w:id="21" w:name="page22"/>
    <w:bookmarkEnd w:id="21"/>
    <w:p>
      <w:pPr>
        <w:jc w:val="both"/>
        <w:ind w:left="360" w:right="200"/>
        <w:spacing w:after="0" w:line="258" w:lineRule="auto"/>
        <w:rPr>
          <w:sz w:val="20"/>
          <w:szCs w:val="20"/>
          <w:color w:val="auto"/>
        </w:rPr>
      </w:pPr>
      <w:r>
        <w:rPr>
          <w:rFonts w:ascii="Times New Roman" w:cs="Times New Roman" w:eastAsia="Times New Roman" w:hAnsi="Times New Roman"/>
          <w:sz w:val="20"/>
          <w:szCs w:val="20"/>
          <w:i w:val="1"/>
          <w:iCs w:val="1"/>
          <w:color w:val="auto"/>
        </w:rPr>
        <w:t>We rely on analytical models and other data to analyze potential asset acquisition and disposition opportunities and to manage our portfolio. Such models and other data may be incorrect, misleading or incomplete, which could cause us to purchase assets that do not meet our expectations or to make asset management decisions that are not in line with our strategy.</w:t>
      </w:r>
    </w:p>
    <w:p>
      <w:pPr>
        <w:spacing w:after="0" w:line="177" w:lineRule="exact"/>
        <w:rPr>
          <w:sz w:val="20"/>
          <w:szCs w:val="20"/>
          <w:color w:val="auto"/>
        </w:rPr>
      </w:pPr>
    </w:p>
    <w:p>
      <w:pPr>
        <w:ind w:right="80" w:firstLine="360"/>
        <w:spacing w:after="0" w:line="258" w:lineRule="auto"/>
        <w:rPr>
          <w:sz w:val="20"/>
          <w:szCs w:val="20"/>
          <w:color w:val="auto"/>
        </w:rPr>
      </w:pPr>
      <w:r>
        <w:rPr>
          <w:rFonts w:ascii="Times New Roman" w:cs="Times New Roman" w:eastAsia="Times New Roman" w:hAnsi="Times New Roman"/>
          <w:sz w:val="20"/>
          <w:szCs w:val="20"/>
          <w:color w:val="auto"/>
        </w:rPr>
        <w:t>We rely on analytical models, and information and other data supplied by third parties. These models and data may be used to value assets or potential asset acquisitions and dispositions and in connection with our asset management activities. If our models and data prove to be incorrect, misleading or incomplete, any decisions made in reliance thereon could expose us to potential risks.</w:t>
      </w:r>
    </w:p>
    <w:p>
      <w:pPr>
        <w:spacing w:after="0" w:line="179" w:lineRule="exact"/>
        <w:rPr>
          <w:sz w:val="20"/>
          <w:szCs w:val="20"/>
          <w:color w:val="auto"/>
        </w:rPr>
      </w:pPr>
    </w:p>
    <w:p>
      <w:pPr>
        <w:jc w:val="both"/>
        <w:ind w:right="120" w:firstLine="360"/>
        <w:spacing w:after="0" w:line="258" w:lineRule="auto"/>
        <w:rPr>
          <w:sz w:val="20"/>
          <w:szCs w:val="20"/>
          <w:color w:val="auto"/>
        </w:rPr>
      </w:pPr>
      <w:r>
        <w:rPr>
          <w:rFonts w:ascii="Times New Roman" w:cs="Times New Roman" w:eastAsia="Times New Roman" w:hAnsi="Times New Roman"/>
          <w:sz w:val="20"/>
          <w:szCs w:val="20"/>
          <w:color w:val="auto"/>
        </w:rPr>
        <w:t>Our reliance on models and data may induce us to purchase certain assets at prices that are too high, to sell certain other assets at prices that are too low or to miss favorable opportunities altogether. Similarly, any hedging activities that are based on faulty models and data may prove to be unsuccessful.</w:t>
      </w:r>
    </w:p>
    <w:p>
      <w:pPr>
        <w:spacing w:after="0" w:line="178" w:lineRule="exact"/>
        <w:rPr>
          <w:sz w:val="20"/>
          <w:szCs w:val="20"/>
          <w:color w:val="auto"/>
        </w:rPr>
      </w:pPr>
    </w:p>
    <w:p>
      <w:pPr>
        <w:ind w:right="60" w:firstLine="360"/>
        <w:spacing w:after="0" w:line="245" w:lineRule="auto"/>
        <w:rPr>
          <w:sz w:val="20"/>
          <w:szCs w:val="20"/>
          <w:color w:val="auto"/>
        </w:rPr>
      </w:pPr>
      <w:r>
        <w:rPr>
          <w:rFonts w:ascii="Times New Roman" w:cs="Times New Roman" w:eastAsia="Times New Roman" w:hAnsi="Times New Roman"/>
          <w:sz w:val="20"/>
          <w:szCs w:val="20"/>
          <w:color w:val="auto"/>
        </w:rPr>
        <w:t>Some models, such as prepayment models, are predictive in nature. The use of predictive models has inherent risks. For example, such models may incorrectly forecast future behavior, leading to potential losses. In addition, the predictive models used by us may differ substantially from those models used by other market participants, resulting in valuations based on these predictive models that may be substantially higher or lower for certain assets than actual market prices. Furthermore, because predictive models are usually constructed based on historical data supplied by third parties, the success of relying on such models may depend heavily on the accuracy and reliability of the supplied historical data, and, in the case of predicting performance in scenarios with little or no historical precedent (such as extreme broad-based declines in home prices, or deep economic recessions or depressions), such models must employ greater degrees of extrapolation and are therefore more speculative and less reliable.</w:t>
      </w:r>
    </w:p>
    <w:p>
      <w:pPr>
        <w:spacing w:after="0" w:line="192" w:lineRule="exact"/>
        <w:rPr>
          <w:sz w:val="20"/>
          <w:szCs w:val="20"/>
          <w:color w:val="auto"/>
        </w:rPr>
      </w:pPr>
    </w:p>
    <w:p>
      <w:pPr>
        <w:ind w:right="220" w:firstLine="360"/>
        <w:spacing w:after="0" w:line="249" w:lineRule="auto"/>
        <w:rPr>
          <w:sz w:val="20"/>
          <w:szCs w:val="20"/>
          <w:color w:val="auto"/>
        </w:rPr>
      </w:pPr>
      <w:r>
        <w:rPr>
          <w:rFonts w:ascii="Times New Roman" w:cs="Times New Roman" w:eastAsia="Times New Roman" w:hAnsi="Times New Roman"/>
          <w:sz w:val="20"/>
          <w:szCs w:val="20"/>
          <w:color w:val="auto"/>
        </w:rPr>
        <w:t>All valuation models rely on correct market data input. If incorrect market data is entered into even a well-founded valuation model, the resulting valuations will be incorrect. However, even if market data is inputted correctly, “model prices” will often differ substantially from market prices, especially for securities with complex characteristics or whose values are particularly sensitive to various factors. If our market data inputs are incorrect or our model prices differ substantially from market prices, our business, financial condition and results of operations could be materially adversely affected.</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Valuations of our assets are based on third-party input, and on our own judgement, which can result in fluctuations over time.</w:t>
      </w:r>
    </w:p>
    <w:p>
      <w:pPr>
        <w:spacing w:after="0" w:line="228" w:lineRule="exact"/>
        <w:rPr>
          <w:sz w:val="20"/>
          <w:szCs w:val="20"/>
          <w:color w:val="auto"/>
        </w:rPr>
      </w:pPr>
    </w:p>
    <w:p>
      <w:pPr>
        <w:ind w:right="60" w:firstLine="360"/>
        <w:spacing w:after="0" w:line="243" w:lineRule="auto"/>
        <w:rPr>
          <w:sz w:val="20"/>
          <w:szCs w:val="20"/>
          <w:color w:val="auto"/>
        </w:rPr>
      </w:pPr>
      <w:r>
        <w:rPr>
          <w:rFonts w:ascii="Times New Roman" w:cs="Times New Roman" w:eastAsia="Times New Roman" w:hAnsi="Times New Roman"/>
          <w:sz w:val="20"/>
          <w:szCs w:val="20"/>
          <w:color w:val="auto"/>
        </w:rPr>
        <w:t>While in many cases our determination of the fair value of our assets is based on valuations provided by third-party dealers and pricing services, we can and do value assets based upon our judgment, and such valuations may differ from those provided by third-party dealers and pricing services. In general, dealers and pricing services heavily disclaim their valuations. Additionally, dealers may claim to furnish valuations only as an accommodation and without special compensation, and so they may disclaim any and all liability for any direct, incidental or consequential damages arising out of any inaccuracy or incompleteness in valuations, including any act of negligence or breach of any warranty. Depending on the complexity and illiquidity of an asset, valuations of the same asset can vary substantially from one dealer or pricing service to another. The valuation process during times of market distress can be particularly difficult and unpredictable and during such time the disparity of valuations provided by third-party dealers can</w:t>
      </w:r>
    </w:p>
    <w:p>
      <w:pPr>
        <w:spacing w:after="0" w:line="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widen. Because the price estimates provided by third-party dealers and pricing services may vary, we must make certain judgments and assumptions about the appropriate price to use to calculate the fair values. Our business, financial condition and results of operations could be materially adversely affected if our fair value determinations of these assets were materially higher than the values that would exist if a ready market existed for these assets.</w:t>
      </w:r>
    </w:p>
    <w:p>
      <w:pPr>
        <w:spacing w:after="0" w:line="194" w:lineRule="exact"/>
        <w:rPr>
          <w:sz w:val="20"/>
          <w:szCs w:val="20"/>
          <w:color w:val="auto"/>
        </w:rPr>
      </w:pPr>
    </w:p>
    <w:p>
      <w:pPr>
        <w:ind w:left="360"/>
        <w:spacing w:after="0" w:line="275" w:lineRule="auto"/>
        <w:rPr>
          <w:sz w:val="20"/>
          <w:szCs w:val="20"/>
          <w:color w:val="auto"/>
        </w:rPr>
      </w:pPr>
      <w:r>
        <w:rPr>
          <w:rFonts w:ascii="Times New Roman" w:cs="Times New Roman" w:eastAsia="Times New Roman" w:hAnsi="Times New Roman"/>
          <w:sz w:val="20"/>
          <w:szCs w:val="20"/>
          <w:i w:val="1"/>
          <w:iCs w:val="1"/>
          <w:color w:val="auto"/>
        </w:rPr>
        <w:t>Because the assets that we acquire might experience periods of illiquidity, we might be prevented from selling our Agency MBS at favorable times and prices, which could materially adversely affect our business, financial condition and results of operations.</w:t>
      </w:r>
    </w:p>
    <w:p>
      <w:pPr>
        <w:spacing w:after="0" w:line="161" w:lineRule="exact"/>
        <w:rPr>
          <w:sz w:val="20"/>
          <w:szCs w:val="20"/>
          <w:color w:val="auto"/>
        </w:rPr>
      </w:pPr>
    </w:p>
    <w:p>
      <w:pPr>
        <w:ind w:right="80" w:firstLine="360"/>
        <w:spacing w:after="0" w:line="249" w:lineRule="auto"/>
        <w:rPr>
          <w:sz w:val="20"/>
          <w:szCs w:val="20"/>
          <w:color w:val="auto"/>
        </w:rPr>
      </w:pPr>
      <w:r>
        <w:rPr>
          <w:rFonts w:ascii="Times New Roman" w:cs="Times New Roman" w:eastAsia="Times New Roman" w:hAnsi="Times New Roman"/>
          <w:sz w:val="20"/>
          <w:szCs w:val="20"/>
          <w:color w:val="auto"/>
        </w:rPr>
        <w:t>Agency MBS generally experience periods of illiquidity. Such conditions are more likely to occur for structured Agency MBS because such securities are generally traded in markets much less liquid than the PT Agency MBS market. As a result, we may be unable to dispose of our Agency MBS at advantageous times and prices or in a timely manner. The lack of liquidity might result from the absence of a willing buyer or an established market for these assets as well as legal or contractual restrictions on resale. The illiquidity of Agency MBS could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780"/>
          </w:cols>
          <w:pgMar w:left="720" w:top="787" w:right="740" w:bottom="135" w:gutter="0" w:footer="0" w:header="0"/>
        </w:sectPr>
      </w:pPr>
    </w:p>
    <w:bookmarkStart w:id="22" w:name="page23"/>
    <w:bookmarkEnd w:id="22"/>
    <w:p>
      <w:pPr>
        <w:ind w:left="360" w:right="340"/>
        <w:spacing w:after="0" w:line="276" w:lineRule="auto"/>
        <w:rPr>
          <w:sz w:val="20"/>
          <w:szCs w:val="20"/>
          <w:color w:val="auto"/>
        </w:rPr>
      </w:pPr>
      <w:r>
        <w:rPr>
          <w:rFonts w:ascii="Times New Roman" w:cs="Times New Roman" w:eastAsia="Times New Roman" w:hAnsi="Times New Roman"/>
          <w:sz w:val="20"/>
          <w:szCs w:val="20"/>
          <w:i w:val="1"/>
          <w:iCs w:val="1"/>
          <w:color w:val="auto"/>
        </w:rPr>
        <w:t>Our use of repurchase agreements may give our lenders greater rights in the event that either we or any of our lenders file for bankruptcy, which may make it difficult for us to recover our collateral in the event of a bankruptcy filing.</w:t>
      </w:r>
    </w:p>
    <w:p>
      <w:pPr>
        <w:spacing w:after="0" w:line="159" w:lineRule="exact"/>
        <w:rPr>
          <w:sz w:val="20"/>
          <w:szCs w:val="20"/>
          <w:color w:val="auto"/>
        </w:rPr>
      </w:pPr>
    </w:p>
    <w:p>
      <w:pPr>
        <w:ind w:right="60" w:firstLine="360"/>
        <w:spacing w:after="0" w:line="260" w:lineRule="auto"/>
        <w:rPr>
          <w:sz w:val="20"/>
          <w:szCs w:val="20"/>
          <w:color w:val="auto"/>
        </w:rPr>
      </w:pPr>
      <w:r>
        <w:rPr>
          <w:rFonts w:ascii="Times New Roman" w:cs="Times New Roman" w:eastAsia="Times New Roman" w:hAnsi="Times New Roman"/>
          <w:sz w:val="19"/>
          <w:szCs w:val="19"/>
          <w:color w:val="auto"/>
        </w:rPr>
        <w:t>Our borrowings under repurchase agreements may qualify for special treatment under the bankruptcy code, giving our lenders the ability to avoid the automatic stay provisions of the bankruptcy code and to take possession of and liquidate our collateral under the repurchase agreements without delay if we file for bankruptcy. Furthermore, the special treatment of repurchase agreements under the bankruptcy code may make it difficult for us to recover our pledged assets in the event that any of our lenders files for bankruptcy. Thus, the use of repurchase agreements exposes our pledged assets to risk in the event of a bankruptcy filing by either our lenders or us. In addition, if the lender is a broker or dealer subject to the Securities Investor Protection Act of 1970, or an insured depository institution subject to the Federal Deposit Insurance Act, our ability to exercise our rights to recover our investment under a repurchase agreement or to be compensated for any damages resulting from the lender’s insolvency may be further limited by those statutes.</w:t>
      </w:r>
    </w:p>
    <w:p>
      <w:pPr>
        <w:spacing w:after="0" w:line="179" w:lineRule="exact"/>
        <w:rPr>
          <w:sz w:val="20"/>
          <w:szCs w:val="20"/>
          <w:color w:val="auto"/>
        </w:rPr>
      </w:pPr>
    </w:p>
    <w:p>
      <w:pPr>
        <w:ind w:left="360" w:right="160"/>
        <w:spacing w:after="0" w:line="252" w:lineRule="auto"/>
        <w:rPr>
          <w:sz w:val="20"/>
          <w:szCs w:val="20"/>
          <w:color w:val="auto"/>
        </w:rPr>
      </w:pPr>
      <w:r>
        <w:rPr>
          <w:rFonts w:ascii="Times New Roman" w:cs="Times New Roman" w:eastAsia="Times New Roman" w:hAnsi="Times New Roman"/>
          <w:sz w:val="20"/>
          <w:szCs w:val="20"/>
          <w:i w:val="1"/>
          <w:iCs w:val="1"/>
          <w:color w:val="auto"/>
        </w:rPr>
        <w:t>If a repurchase agreement counterparty defaults on their obligations to resell the Agency MBS back to us at the end of the repo transaction term, if the value of the Agency MBS has declined by the end of the repo transaction term, or if we default on our obligations under the repo transaction, we will lose money on these transactions, which, in turn, may materially adversely affect our business, financial condition and results of operations.</w:t>
      </w:r>
    </w:p>
    <w:p>
      <w:pPr>
        <w:spacing w:after="0" w:line="182" w:lineRule="exact"/>
        <w:rPr>
          <w:sz w:val="20"/>
          <w:szCs w:val="20"/>
          <w:color w:val="auto"/>
        </w:rPr>
      </w:pPr>
    </w:p>
    <w:p>
      <w:pPr>
        <w:ind w:firstLine="360"/>
        <w:spacing w:after="0" w:line="243" w:lineRule="auto"/>
        <w:rPr>
          <w:sz w:val="20"/>
          <w:szCs w:val="20"/>
          <w:color w:val="auto"/>
        </w:rPr>
      </w:pPr>
      <w:r>
        <w:rPr>
          <w:rFonts w:ascii="Times New Roman" w:cs="Times New Roman" w:eastAsia="Times New Roman" w:hAnsi="Times New Roman"/>
          <w:sz w:val="20"/>
          <w:szCs w:val="20"/>
          <w:color w:val="auto"/>
        </w:rPr>
        <w:t>When we engage in a repo transaction, we initially sell securities to the financial institution under one of our master repurchase agreements in exchange for cash, and our counterparty is obligated to resell the securities to us at the end of the term of the transaction, which is typically less than 90 days but may be up to 364 days or more. The cash we receive when we initially sell the securities is less than the value of those securities, which is referred to as the “haircut.” Many financial institutions from which we may obtain repurchase agreement financing have increased their haircuts in the past and may do so again in the future. When haircuts are increased, we are required to post additional cash or securities as collateral for our Agency MBS. If our counterparty defaults on its obligation to resell the securities to us, we would incur a loss on the transaction equal to the amount of the haircut (assuming there was no change in the value of the securities) . We would also lose money on a repo transaction if the value of the underlying securities had declined as of the end of the transaction term, as we would have to repurchase the securities for their initial value but would receive securities worth less than that amount. Any losses we incur on our repo transactions could materially adversely affect our business, financial condition and results of operations.</w:t>
      </w:r>
    </w:p>
    <w:p>
      <w:pPr>
        <w:spacing w:after="0" w:line="199" w:lineRule="exact"/>
        <w:rPr>
          <w:sz w:val="20"/>
          <w:szCs w:val="20"/>
          <w:color w:val="auto"/>
        </w:rPr>
      </w:pPr>
    </w:p>
    <w:p>
      <w:pPr>
        <w:jc w:val="both"/>
        <w:ind w:right="160" w:firstLine="360"/>
        <w:spacing w:after="0" w:line="252" w:lineRule="auto"/>
        <w:rPr>
          <w:sz w:val="20"/>
          <w:szCs w:val="20"/>
          <w:color w:val="auto"/>
        </w:rPr>
      </w:pPr>
      <w:r>
        <w:rPr>
          <w:rFonts w:ascii="Times New Roman" w:cs="Times New Roman" w:eastAsia="Times New Roman" w:hAnsi="Times New Roman"/>
          <w:sz w:val="20"/>
          <w:szCs w:val="20"/>
          <w:color w:val="auto"/>
        </w:rPr>
        <w:t>If we default on one of our obligations under a repurchase agreement transaction, the counterparty can terminate the transaction and cease entering into any other repo transactions with us. In that case, we would likely need to establish a replacement repurchase facility with another financial institution in order to continue to leverage our portfolio and carry out our investment strategy. There is no assurance we would be able to establish a suitable replacement facility on acceptable terms or at all.</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We have issued long-term debt to fund our operations which can increase the volatility of our earnings and stockholders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equity.</w:t>
      </w:r>
    </w:p>
    <w:p>
      <w:pPr>
        <w:spacing w:after="0" w:line="231" w:lineRule="exact"/>
        <w:rPr>
          <w:sz w:val="20"/>
          <w:szCs w:val="20"/>
          <w:color w:val="auto"/>
        </w:rPr>
      </w:pPr>
    </w:p>
    <w:p>
      <w:pPr>
        <w:ind w:firstLine="360"/>
        <w:spacing w:after="0" w:line="246" w:lineRule="auto"/>
        <w:rPr>
          <w:sz w:val="20"/>
          <w:szCs w:val="20"/>
          <w:color w:val="auto"/>
        </w:rPr>
      </w:pPr>
      <w:r>
        <w:rPr>
          <w:rFonts w:ascii="Times New Roman" w:cs="Times New Roman" w:eastAsia="Times New Roman" w:hAnsi="Times New Roman"/>
          <w:sz w:val="20"/>
          <w:szCs w:val="20"/>
          <w:color w:val="auto"/>
        </w:rPr>
        <w:t>In October 2005, Bimini Capital completed a private offering of trust preferred securities of Bimini Capital Trust II, of which $26.8 million are still outstanding. The Company must pay interest on these junior subordinated notes on a quarterly basis at a rate equal to CME 3-month Term SOFR plus a tenor spread adjustment of 0.26161% plus the coupon spread of 3.50%. To the extent the Company’s does not generate sufficient earnings to cover the interest payments on the debt, our earnings and stockholders’ equity may be negatively impacted. The Company considers the junior subordinated notes as part of its long-term capital base. Therefore, for purposes of all disclosure in this report concerning our capital or leverage, the Company considers both stockholders’ equity and the $26.8 million of junior subordinated notes to constitute capital.</w:t>
      </w:r>
    </w:p>
    <w:p>
      <w:pPr>
        <w:spacing w:after="0" w:line="190" w:lineRule="exact"/>
        <w:rPr>
          <w:sz w:val="20"/>
          <w:szCs w:val="20"/>
          <w:color w:val="auto"/>
        </w:rPr>
      </w:pPr>
    </w:p>
    <w:p>
      <w:pPr>
        <w:ind w:right="20" w:firstLine="360"/>
        <w:spacing w:after="0" w:line="249" w:lineRule="auto"/>
        <w:rPr>
          <w:sz w:val="20"/>
          <w:szCs w:val="20"/>
          <w:color w:val="auto"/>
        </w:rPr>
      </w:pPr>
      <w:r>
        <w:rPr>
          <w:rFonts w:ascii="Times New Roman" w:cs="Times New Roman" w:eastAsia="Times New Roman" w:hAnsi="Times New Roman"/>
          <w:sz w:val="20"/>
          <w:szCs w:val="20"/>
          <w:color w:val="auto"/>
        </w:rPr>
        <w:t>The Company has also elected to account for its investments in MBS under the fair value option and, therefore, will report MBS on our financial statements at fair value with unrealized gains and losses included in earnings. Changes in the value of the MBS do not impact the outstanding balance of the junior subordinated notes but rather our stockholders’ equity. Therefore, changes in the value of our MBS will be absorbed solely by our stockholders’ equity. Because our stockholders’ equity is small in relation to our total capital, such changes may result in significant changes in our stockholders’ equity.</w:t>
      </w:r>
    </w:p>
    <w:p>
      <w:pPr>
        <w:spacing w:after="0" w:line="189" w:lineRule="exact"/>
        <w:rPr>
          <w:sz w:val="20"/>
          <w:szCs w:val="20"/>
          <w:color w:val="auto"/>
        </w:rPr>
      </w:pPr>
    </w:p>
    <w:p>
      <w:pPr>
        <w:ind w:left="360" w:right="240"/>
        <w:spacing w:after="0" w:line="275" w:lineRule="auto"/>
        <w:rPr>
          <w:sz w:val="20"/>
          <w:szCs w:val="20"/>
          <w:color w:val="auto"/>
        </w:rPr>
      </w:pPr>
      <w:r>
        <w:rPr>
          <w:rFonts w:ascii="Times New Roman" w:cs="Times New Roman" w:eastAsia="Times New Roman" w:hAnsi="Times New Roman"/>
          <w:sz w:val="20"/>
          <w:szCs w:val="20"/>
          <w:i w:val="1"/>
          <w:iCs w:val="1"/>
          <w:color w:val="auto"/>
        </w:rPr>
        <w:t>Clearing facilities or exchanges upon which some of our hedging instruments are traded may increase margin requirements on our hedging instruments in the event of adverse economic developments.</w:t>
      </w:r>
    </w:p>
    <w:p>
      <w:pPr>
        <w:spacing w:after="0" w:line="161" w:lineRule="exact"/>
        <w:rPr>
          <w:sz w:val="20"/>
          <w:szCs w:val="20"/>
          <w:color w:val="auto"/>
        </w:rPr>
      </w:pPr>
    </w:p>
    <w:p>
      <w:pPr>
        <w:ind w:right="40" w:firstLine="360"/>
        <w:spacing w:after="0" w:line="249" w:lineRule="auto"/>
        <w:rPr>
          <w:sz w:val="20"/>
          <w:szCs w:val="20"/>
          <w:color w:val="auto"/>
        </w:rPr>
      </w:pPr>
      <w:r>
        <w:rPr>
          <w:rFonts w:ascii="Times New Roman" w:cs="Times New Roman" w:eastAsia="Times New Roman" w:hAnsi="Times New Roman"/>
          <w:sz w:val="20"/>
          <w:szCs w:val="20"/>
          <w:color w:val="auto"/>
        </w:rPr>
        <w:t>In response to events having or expected to have adverse economic consequences or which create market uncertainty, clearing facilities or exchanges upon which some of our hedging instruments, such as T-Note, Fed Funds and SOFR futures contracts, are traded may require us to post additional collateral against our hedging instruments. In the event that future adverse economic developments or market uncertainty result in increased margin requirements for our hedging instruments, it could materially adversely affect our liquidity position,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800"/>
          </w:cols>
          <w:pgMar w:left="720" w:top="787" w:right="720" w:bottom="135" w:gutter="0" w:footer="0" w:header="0"/>
        </w:sectPr>
      </w:pPr>
    </w:p>
    <w:bookmarkStart w:id="23" w:name="page24"/>
    <w:bookmarkEnd w:id="23"/>
    <w:p>
      <w:pPr>
        <w:ind w:left="40" w:right="560" w:firstLine="360"/>
        <w:spacing w:after="0" w:line="276" w:lineRule="auto"/>
        <w:rPr>
          <w:sz w:val="20"/>
          <w:szCs w:val="20"/>
          <w:color w:val="auto"/>
        </w:rPr>
      </w:pPr>
      <w:r>
        <w:rPr>
          <w:rFonts w:ascii="Times New Roman" w:cs="Times New Roman" w:eastAsia="Times New Roman" w:hAnsi="Times New Roman"/>
          <w:sz w:val="20"/>
          <w:szCs w:val="20"/>
          <w:i w:val="1"/>
          <w:iCs w:val="1"/>
          <w:color w:val="auto"/>
        </w:rPr>
        <w:t>Our inability to access funding or the terms on which such funding is available could have a material adverse effect on our financial condition, particularly in times of significant market dislocations.</w:t>
      </w:r>
    </w:p>
    <w:p>
      <w:pPr>
        <w:spacing w:after="0" w:line="159" w:lineRule="exact"/>
        <w:rPr>
          <w:sz w:val="20"/>
          <w:szCs w:val="20"/>
          <w:color w:val="auto"/>
        </w:rPr>
      </w:pPr>
    </w:p>
    <w:p>
      <w:pPr>
        <w:ind w:right="60" w:firstLine="319"/>
        <w:spacing w:after="0" w:line="263" w:lineRule="auto"/>
        <w:rPr>
          <w:sz w:val="20"/>
          <w:szCs w:val="20"/>
          <w:color w:val="auto"/>
        </w:rPr>
      </w:pPr>
      <w:r>
        <w:rPr>
          <w:rFonts w:ascii="Times New Roman" w:cs="Times New Roman" w:eastAsia="Times New Roman" w:hAnsi="Times New Roman"/>
          <w:sz w:val="19"/>
          <w:szCs w:val="19"/>
          <w:color w:val="auto"/>
        </w:rPr>
        <w:t>Our ability to fund our operations, meet financial obligations and finance asset acquisitions is dependent upon our ability to secure and maintain repurchase agreements with our counterparties. Because repurchase agreements are short- term commitments of capital, lenders may respond to market conditions in ways that make it more difficult for us to renew or replace on a continuous basis our maturing short- term borrowings and have imposed and may continue to impose more onerous terms when rolling such financings. If we are not able to renew our existing repurchase agreements or arrange for new financing on terms acceptable to us, or if we are required to post more collateral or face larger haircuts, we may have to curtail our asset acquisition activities and/or dispose of assets.</w:t>
      </w:r>
    </w:p>
    <w:p>
      <w:pPr>
        <w:spacing w:after="0" w:line="174" w:lineRule="exact"/>
        <w:rPr>
          <w:sz w:val="20"/>
          <w:szCs w:val="20"/>
          <w:color w:val="auto"/>
        </w:rPr>
      </w:pPr>
    </w:p>
    <w:p>
      <w:pPr>
        <w:ind w:firstLine="319"/>
        <w:spacing w:after="0" w:line="242" w:lineRule="auto"/>
        <w:rPr>
          <w:sz w:val="20"/>
          <w:szCs w:val="20"/>
          <w:color w:val="auto"/>
        </w:rPr>
      </w:pPr>
      <w:r>
        <w:rPr>
          <w:rFonts w:ascii="Times New Roman" w:cs="Times New Roman" w:eastAsia="Times New Roman" w:hAnsi="Times New Roman"/>
          <w:sz w:val="20"/>
          <w:szCs w:val="20"/>
          <w:color w:val="auto"/>
        </w:rPr>
        <w:t>Issues related to financing are exacerbated in times of significant dislocation in the financial markets, for example, such as those experienced related to the COVID -19 pandemic. It is possible our lenders will become unwilling or unable to provide us with financing, and we could be forced to sell our assets at an inopportune time when prices are depressed. In addition, if the regulatory capital requirements imposed on our lenders change, they may be required to significantly increase the cost of the financing that they provide to us. Our lenders also have revised and may continue to revise the terms of such financings, including haircuts and requiring additional collateral in the form of cash, based on, among other factors, the regulatory environment and their management of actual and perceived risk. Moreover, the amount of financing we receive under our repurchase agreements will be directly related to our lenders’ valuation of our assets that collateralize the outstanding borrowings. Typically, repurchase agreements grant the lender the absolute right to re-evaluate the fair market value of the assets that cover outstanding borrowings at any time. If a lender determines in its sole discretion that the value of the assets has decreased, the lender has the right to initiate a margin call. These valuations may be different than the values that we ascribe to these assets and may be influenced by recent asset sales at distressed levels by forced sellers. A margin call requires us to transfer additional assets to a lender without any advance of funds from the lender for such transfer or to repay a portion of the outstanding borrowings. Significant margin calls could have a material adverse effect on our results of operations, financial condition, business, liquidity and ability to make distributions to our stockholders, and could cause the value of our common stock to decline. In addition, we have in the past experienced an increase in haircuts on financings we have rolled, and may again in the future. As haircuts are increased, we are required to post additional collateral. We may also be forced to sell assets at significantly depressed prices to meet such margin calls and to maintain adequate liquidity. As of December 31, 2024, we had met all margin call requirements, but a sufficiently deep and/or rapid increase in margin calls or haircuts could have an adverse impact on our liquidity.</w:t>
      </w:r>
    </w:p>
    <w:p>
      <w:pPr>
        <w:spacing w:after="0" w:line="197" w:lineRule="exact"/>
        <w:rPr>
          <w:sz w:val="20"/>
          <w:szCs w:val="20"/>
          <w:color w:val="auto"/>
        </w:rPr>
      </w:pPr>
    </w:p>
    <w:p>
      <w:pPr>
        <w:ind w:left="40" w:right="100" w:firstLine="360"/>
        <w:spacing w:after="0" w:line="275" w:lineRule="auto"/>
        <w:rPr>
          <w:sz w:val="20"/>
          <w:szCs w:val="20"/>
          <w:color w:val="auto"/>
        </w:rPr>
      </w:pPr>
      <w:r>
        <w:rPr>
          <w:rFonts w:ascii="Times New Roman" w:cs="Times New Roman" w:eastAsia="Times New Roman" w:hAnsi="Times New Roman"/>
          <w:sz w:val="20"/>
          <w:szCs w:val="20"/>
          <w:i w:val="1"/>
          <w:iCs w:val="1"/>
          <w:color w:val="auto"/>
        </w:rPr>
        <w:t>We may change our investment strategy, investment guidelines and asset allocation without notice or stockholder consent, which may result in riskier investments.</w:t>
      </w:r>
    </w:p>
    <w:p>
      <w:pPr>
        <w:spacing w:after="0" w:line="161" w:lineRule="exact"/>
        <w:rPr>
          <w:sz w:val="20"/>
          <w:szCs w:val="20"/>
          <w:color w:val="auto"/>
        </w:rPr>
      </w:pPr>
    </w:p>
    <w:p>
      <w:pPr>
        <w:ind w:left="40" w:right="200" w:firstLine="360"/>
        <w:spacing w:after="0" w:line="249" w:lineRule="auto"/>
        <w:rPr>
          <w:sz w:val="20"/>
          <w:szCs w:val="20"/>
          <w:color w:val="auto"/>
        </w:rPr>
      </w:pPr>
      <w:r>
        <w:rPr>
          <w:rFonts w:ascii="Times New Roman" w:cs="Times New Roman" w:eastAsia="Times New Roman" w:hAnsi="Times New Roman"/>
          <w:sz w:val="20"/>
          <w:szCs w:val="20"/>
          <w:color w:val="auto"/>
        </w:rPr>
        <w:t>Our Board of Directors has the authority to change our investment strategy or asset allocation at any time without notice to or consent from our stockholders. To the extent that our investment strategy changes in the future, we may make investments that are different from, and possibly riskier than, the investments described in this Report. A change in our investment strategy may increase our exposure to interest rate and real estate market fluctuations. Furthermore, a change in our asset allocation could result in our allocating assets in a different manner than as described in this Report.</w:t>
      </w:r>
    </w:p>
    <w:p>
      <w:pPr>
        <w:spacing w:after="0" w:line="189" w:lineRule="exact"/>
        <w:rPr>
          <w:sz w:val="20"/>
          <w:szCs w:val="20"/>
          <w:color w:val="auto"/>
        </w:rPr>
      </w:pPr>
    </w:p>
    <w:p>
      <w:pPr>
        <w:ind w:left="400" w:right="600"/>
        <w:spacing w:after="0" w:line="275" w:lineRule="auto"/>
        <w:rPr>
          <w:sz w:val="20"/>
          <w:szCs w:val="20"/>
          <w:color w:val="auto"/>
        </w:rPr>
      </w:pPr>
      <w:r>
        <w:rPr>
          <w:rFonts w:ascii="Times New Roman" w:cs="Times New Roman" w:eastAsia="Times New Roman" w:hAnsi="Times New Roman"/>
          <w:sz w:val="20"/>
          <w:szCs w:val="20"/>
          <w:i w:val="1"/>
          <w:iCs w:val="1"/>
          <w:color w:val="auto"/>
        </w:rPr>
        <w:t>Competition might prevent us from acquiring Agency MBS at favorable yields, which could materially adversely affect our business, financial condition and results of operations.</w:t>
      </w:r>
    </w:p>
    <w:p>
      <w:pPr>
        <w:spacing w:after="0" w:line="161" w:lineRule="exact"/>
        <w:rPr>
          <w:sz w:val="20"/>
          <w:szCs w:val="20"/>
          <w:color w:val="auto"/>
        </w:rPr>
      </w:pPr>
    </w:p>
    <w:p>
      <w:pPr>
        <w:ind w:left="40" w:right="60" w:firstLine="360"/>
        <w:spacing w:after="0" w:line="243" w:lineRule="auto"/>
        <w:rPr>
          <w:sz w:val="20"/>
          <w:szCs w:val="20"/>
          <w:color w:val="auto"/>
        </w:rPr>
      </w:pPr>
      <w:r>
        <w:rPr>
          <w:rFonts w:ascii="Times New Roman" w:cs="Times New Roman" w:eastAsia="Times New Roman" w:hAnsi="Times New Roman"/>
          <w:sz w:val="20"/>
          <w:szCs w:val="20"/>
          <w:color w:val="auto"/>
        </w:rPr>
        <w:t>We operate in a highly competitive market for investment opportunities. Our net income largely depends on our ability to acquire Agency MBS at favorable spreads over our borrowing costs. In acquiring Agency MBS, we compete with a variety of institutional investors, including mortgage REITs, investment banking firms, savings and loan associations, banks, insurance companies, mutual funds, other lenders, other entities that purchase Agency MBS, the Fed, other governmental entities and government-sponsored entities, many of which have greater financial, technical, marketing and other resources than we do. Some competitors may have a lower cost of funds and access to funding sources that may not be available to us, such as funding from the U.S. government. In addition, some of our competitors may have higher risk tolerances or different risk assessments, which could allow them to consider a wider variety of investments. Furthermore, competition for investments in Agency MBS may lead the price of such investments to increase, which may further limit our ability to generate desired returns. As a result, we may not be able to acquire sufficient Agency MBS at favorable spreads over our borrowing costs, which would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820"/>
          </w:cols>
          <w:pgMar w:left="680" w:top="787" w:right="740" w:bottom="135" w:gutter="0" w:footer="0" w:header="0"/>
        </w:sectPr>
      </w:pPr>
    </w:p>
    <w:bookmarkStart w:id="24" w:name="page25"/>
    <w:bookmarkEnd w:id="24"/>
    <w:p>
      <w:pPr>
        <w:ind w:left="380" w:right="100"/>
        <w:spacing w:after="0" w:line="252" w:lineRule="auto"/>
        <w:rPr>
          <w:sz w:val="20"/>
          <w:szCs w:val="20"/>
          <w:color w:val="auto"/>
        </w:rPr>
      </w:pPr>
      <w:r>
        <w:rPr>
          <w:rFonts w:ascii="Times New Roman" w:cs="Times New Roman" w:eastAsia="Times New Roman" w:hAnsi="Times New Roman"/>
          <w:sz w:val="20"/>
          <w:szCs w:val="20"/>
          <w:i w:val="1"/>
          <w:iCs w:val="1"/>
          <w:color w:val="auto"/>
        </w:rPr>
        <w:t>The occurrence of cyber -incidents, or a deficiency in our cybersecurity or in those of any of our third-party service providers could negatively impact our business by causing a disruption to our operations, a compromise or corruption of our confidential information or damage to our business relationships or reputation, all of which could negatively impact our business and results of operations.</w:t>
      </w:r>
    </w:p>
    <w:p>
      <w:pPr>
        <w:spacing w:after="0" w:line="183" w:lineRule="exact"/>
        <w:rPr>
          <w:sz w:val="20"/>
          <w:szCs w:val="20"/>
          <w:color w:val="auto"/>
        </w:rPr>
      </w:pPr>
    </w:p>
    <w:p>
      <w:pPr>
        <w:ind w:left="20" w:firstLine="360"/>
        <w:spacing w:after="0" w:line="245" w:lineRule="auto"/>
        <w:rPr>
          <w:sz w:val="20"/>
          <w:szCs w:val="20"/>
          <w:color w:val="auto"/>
        </w:rPr>
      </w:pPr>
      <w:r>
        <w:rPr>
          <w:rFonts w:ascii="Times New Roman" w:cs="Times New Roman" w:eastAsia="Times New Roman" w:hAnsi="Times New Roman"/>
          <w:sz w:val="20"/>
          <w:szCs w:val="20"/>
          <w:color w:val="auto"/>
        </w:rPr>
        <w:t>A cyber-incident is considered to be any adverse event that threatens the confidentiality, integrity, or availability of our information resources or the information resources of our third-party service providers. More specifically, a cyber-incident is an intentional attack or an unintentional event that can include gaining unauthorized access to systems to disrupt operations, corrupt data, or steal confidential information. As our reliance on technology has increased, so have the risks posed to our systems, both internal and those we have outsourced. The primary risks that could directly result from the occurrence of a cyber-incident include operational interruption and private data exposure. We have implemented processes, procedures and controls to help mitigate these risks, but these measures, as well as our focus on mitigating the risk of a cyber-incident, do not guarantee that our business and results of operations will not be negatively impacted by such an incident.</w:t>
      </w:r>
    </w:p>
    <w:p>
      <w:pPr>
        <w:spacing w:after="0" w:line="193" w:lineRule="exact"/>
        <w:rPr>
          <w:sz w:val="20"/>
          <w:szCs w:val="20"/>
          <w:color w:val="auto"/>
        </w:rPr>
      </w:pPr>
    </w:p>
    <w:p>
      <w:pPr>
        <w:ind w:left="20" w:right="200" w:firstLine="360"/>
        <w:spacing w:after="0" w:line="276" w:lineRule="auto"/>
        <w:rPr>
          <w:sz w:val="20"/>
          <w:szCs w:val="20"/>
          <w:color w:val="auto"/>
        </w:rPr>
      </w:pPr>
      <w:r>
        <w:rPr>
          <w:rFonts w:ascii="Times New Roman" w:cs="Times New Roman" w:eastAsia="Times New Roman" w:hAnsi="Times New Roman"/>
          <w:sz w:val="20"/>
          <w:szCs w:val="20"/>
          <w:i w:val="1"/>
          <w:iCs w:val="1"/>
          <w:color w:val="auto"/>
        </w:rPr>
        <w:t>We face possible risks associated with the effects of climate change, severe weather, natural disasters, acts of war or terrorism, and other adverse external events.</w:t>
      </w:r>
    </w:p>
    <w:p>
      <w:pPr>
        <w:spacing w:after="0" w:line="159" w:lineRule="exact"/>
        <w:rPr>
          <w:sz w:val="20"/>
          <w:szCs w:val="20"/>
          <w:color w:val="auto"/>
        </w:rPr>
      </w:pPr>
    </w:p>
    <w:p>
      <w:pPr>
        <w:ind w:right="40" w:firstLine="320"/>
        <w:spacing w:after="0" w:line="247" w:lineRule="auto"/>
        <w:rPr>
          <w:sz w:val="20"/>
          <w:szCs w:val="20"/>
          <w:color w:val="auto"/>
        </w:rPr>
      </w:pPr>
      <w:r>
        <w:rPr>
          <w:rFonts w:ascii="Times New Roman" w:cs="Times New Roman" w:eastAsia="Times New Roman" w:hAnsi="Times New Roman"/>
          <w:sz w:val="20"/>
          <w:szCs w:val="20"/>
          <w:color w:val="auto"/>
        </w:rPr>
        <w:t>We cannot predict the rate at which climate change will progress. However, the physical effects of climate change could have a material adverse effect on our operations and business. Our headquarters is located very close to the Florida coastline. Our headquarters has experienced and may in the future experience severe weather, including hurricanes and coastal flooding due to increases in storm intensity and rising sea levels. Such weather events and other natural disasters could disrupt our operations or damage our headquarters. There can be no assurance that climate change and severe weather will not have a material adverse effect on our operations or business.</w:t>
      </w:r>
    </w:p>
    <w:p>
      <w:pPr>
        <w:spacing w:after="0" w:line="191" w:lineRule="exact"/>
        <w:rPr>
          <w:sz w:val="20"/>
          <w:szCs w:val="20"/>
          <w:color w:val="auto"/>
        </w:rPr>
      </w:pPr>
    </w:p>
    <w:p>
      <w:pPr>
        <w:ind w:right="180" w:firstLine="320"/>
        <w:spacing w:after="0" w:line="258" w:lineRule="auto"/>
        <w:rPr>
          <w:sz w:val="20"/>
          <w:szCs w:val="20"/>
          <w:color w:val="auto"/>
        </w:rPr>
      </w:pPr>
      <w:r>
        <w:rPr>
          <w:rFonts w:ascii="Times New Roman" w:cs="Times New Roman" w:eastAsia="Times New Roman" w:hAnsi="Times New Roman"/>
          <w:sz w:val="20"/>
          <w:szCs w:val="20"/>
          <w:color w:val="auto"/>
        </w:rPr>
        <w:t>The occurrence of other external events, including the emergence of a pandemic or other widespread health emergency (or concerns over the possibility of such an emergency), terrorist attacks, or acts of war could create economic and financial disruptions, and could lead to operational difficulties that could impair our ability to manage our businesses.</w:t>
      </w:r>
    </w:p>
    <w:p>
      <w:pPr>
        <w:spacing w:after="0" w:line="181" w:lineRule="exact"/>
        <w:rPr>
          <w:sz w:val="20"/>
          <w:szCs w:val="20"/>
          <w:color w:val="auto"/>
        </w:rPr>
      </w:pPr>
    </w:p>
    <w:p>
      <w:pPr>
        <w:ind w:left="380" w:right="120"/>
        <w:spacing w:after="0" w:line="251" w:lineRule="auto"/>
        <w:rPr>
          <w:sz w:val="20"/>
          <w:szCs w:val="20"/>
          <w:color w:val="auto"/>
        </w:rPr>
      </w:pPr>
      <w:r>
        <w:rPr>
          <w:rFonts w:ascii="Times New Roman" w:cs="Times New Roman" w:eastAsia="Times New Roman" w:hAnsi="Times New Roman"/>
          <w:sz w:val="20"/>
          <w:szCs w:val="20"/>
          <w:i w:val="1"/>
          <w:iCs w:val="1"/>
          <w:color w:val="auto"/>
        </w:rPr>
        <w:t>Cybersecurity-related incidents, including security breaches and failures of our information systems and those operated by third parties could significantly disrupt our business, result in the unintended disclosure or misuse of confidential or proprietary information, damage our reputation, increase our costs, and cause losses which may, in turn, adversely affect our business, financial condition and results of operations.</w:t>
      </w:r>
    </w:p>
    <w:p>
      <w:pPr>
        <w:spacing w:after="0" w:line="186" w:lineRule="exact"/>
        <w:rPr>
          <w:sz w:val="20"/>
          <w:szCs w:val="20"/>
          <w:color w:val="auto"/>
        </w:rPr>
      </w:pPr>
    </w:p>
    <w:p>
      <w:pPr>
        <w:ind w:left="20" w:right="160" w:firstLine="360"/>
        <w:spacing w:after="0" w:line="247" w:lineRule="auto"/>
        <w:rPr>
          <w:sz w:val="20"/>
          <w:szCs w:val="20"/>
          <w:color w:val="auto"/>
        </w:rPr>
      </w:pPr>
      <w:r>
        <w:rPr>
          <w:rFonts w:ascii="Times New Roman" w:cs="Times New Roman" w:eastAsia="Times New Roman" w:hAnsi="Times New Roman"/>
          <w:sz w:val="20"/>
          <w:szCs w:val="20"/>
          <w:color w:val="auto"/>
        </w:rPr>
        <w:t>Our business is highly dependent on communications and information systems that allow us to monitor, value, buy, sell, finance and hedge our investments and to store sensitive data. These systems are operated by third parties and, as a result, we have limited ability to ensure their continued operation. In the event of a systems failure or interruption, we will have limited ability to affect the timing and success of systems restoration. Any failure or interruption of these systems could cause delays or other problems in our securities trading activities, including Agency MBS trading activities, which could have a material adverse effect on our business, financial condition and results of operations.</w:t>
      </w:r>
    </w:p>
    <w:p>
      <w:pPr>
        <w:spacing w:after="0" w:line="189" w:lineRule="exact"/>
        <w:rPr>
          <w:sz w:val="20"/>
          <w:szCs w:val="20"/>
          <w:color w:val="auto"/>
        </w:rPr>
      </w:pPr>
    </w:p>
    <w:p>
      <w:pPr>
        <w:ind w:left="20" w:right="20" w:firstLine="360"/>
        <w:spacing w:after="0" w:line="242" w:lineRule="auto"/>
        <w:rPr>
          <w:sz w:val="20"/>
          <w:szCs w:val="20"/>
          <w:color w:val="auto"/>
        </w:rPr>
      </w:pPr>
      <w:r>
        <w:rPr>
          <w:rFonts w:ascii="Times New Roman" w:cs="Times New Roman" w:eastAsia="Times New Roman" w:hAnsi="Times New Roman"/>
          <w:sz w:val="20"/>
          <w:szCs w:val="20"/>
          <w:color w:val="auto"/>
        </w:rPr>
        <w:t>Cybersecurity-related incidents, which include the use of computer malware, ransomware, viruses, and computer hacking and phishing attacks that could result in unauthorized access, theft, misuse, loss, release, or destruction of data, account takeovers, unavailability of services, or other events, have become more prevalent in the financial services industry and may occur on our or certain of our third party service providers' systems in the future These types of threats may derive from human error, fraud, or malice on the part of external or internal parties or may result from accidental technological failure. Further, these types of threats may be exacerbated by recent developments in artificial intelligence and its increased use to produce sophisticated malware, phishing schemes, and other fraudulent activities. We rely heavily on our financial, accounting and other data processing systems. Although we have not suffered a breach to date, financial services institutions have reported breaches of their systems, some of which have been significant. Even with all reasonable security efforts, not every breach can be prevented or even detected. It is possible that we, or certain of our third-party service providers have experienced an undetected breach, and it is likely that other financial institutions have experienced more breaches than have been detected and reported. There is no assurance that we, or certain of the third parties that facilitate our business activities, have not or will not experience a breach. It is difficult to determine what, if any, negative impact may directly result from any specific interruption or cyber-attacks or security breaches of our networks or systems (or the networks or systems of certain third parties that facilitate our business activities) or any failure to maintain performance, reliability and security of certain of our third-party service providers' technical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800"/>
          </w:cols>
          <w:pgMar w:left="700" w:top="787" w:right="740" w:bottom="135" w:gutter="0" w:footer="0" w:header="0"/>
        </w:sectPr>
      </w:pPr>
    </w:p>
    <w:bookmarkStart w:id="25" w:name="page26"/>
    <w:bookmarkEnd w:id="25"/>
    <w:p>
      <w:pPr>
        <w:ind w:left="20" w:firstLine="360"/>
        <w:spacing w:after="0" w:line="243" w:lineRule="auto"/>
        <w:rPr>
          <w:sz w:val="20"/>
          <w:szCs w:val="20"/>
          <w:color w:val="auto"/>
        </w:rPr>
      </w:pPr>
      <w:r>
        <w:rPr>
          <w:rFonts w:ascii="Times New Roman" w:cs="Times New Roman" w:eastAsia="Times New Roman" w:hAnsi="Times New Roman"/>
          <w:sz w:val="20"/>
          <w:szCs w:val="20"/>
          <w:color w:val="auto"/>
        </w:rPr>
        <w:t>A cybersecurity-related incident or other significant disruption of our information systems or those of our customers or third-party vendors could (i) disrupt the proper functioning of our networks and systems and therefore our operations; (ii) result in the unauthorized access to, and destruction, loss, theft, misappropriation, or release of confidential, sensitive, or otherwise valuable information of ours; (iii) result in a violation of applicable privacy, data protection, and other laws, subjecting us to additional regulatory scrutiny and exposing us to civil litigation, enforcement actions, governmental fines, and possible financial liability; (iv) require significant management attention and resources to remedy the damages that result; or (v) harm our reputation. The occurrence of any of the foregoing could have a material adverse effect on our business, financial condition, and results of operations. Furthermore, in the event of a cyber-related incident, we may be delayed in identifying or responding to the incident, which could increase the negative impact of the incident on our business, financial condition, and results of operations. While we maintain “cyber” insurance coverage, which would apply in the event of certain cyber-related incidents, the amount of coverage may not be adequate depending on the magnitude of the incident. Furthermore, because cyber-related incidents are inherently difficult to predict and can take many forms, some incidents may not be covered under our cyber insurance coverage.</w:t>
      </w:r>
    </w:p>
    <w:p>
      <w:pPr>
        <w:spacing w:after="0" w:line="199" w:lineRule="exact"/>
        <w:rPr>
          <w:sz w:val="20"/>
          <w:szCs w:val="20"/>
          <w:color w:val="auto"/>
        </w:rPr>
      </w:pPr>
    </w:p>
    <w:p>
      <w:pPr>
        <w:ind w:left="380" w:right="560"/>
        <w:spacing w:after="0" w:line="275" w:lineRule="auto"/>
        <w:rPr>
          <w:sz w:val="20"/>
          <w:szCs w:val="20"/>
          <w:color w:val="auto"/>
        </w:rPr>
      </w:pPr>
      <w:r>
        <w:rPr>
          <w:rFonts w:ascii="Times New Roman" w:cs="Times New Roman" w:eastAsia="Times New Roman" w:hAnsi="Times New Roman"/>
          <w:sz w:val="20"/>
          <w:szCs w:val="20"/>
          <w:i w:val="1"/>
          <w:iCs w:val="1"/>
          <w:color w:val="auto"/>
        </w:rPr>
        <w:t>We depend on a limited number of individuals to operate our business, and the sudden loss of certain key individuals could adversely impact our business.</w:t>
      </w:r>
    </w:p>
    <w:p>
      <w:pPr>
        <w:spacing w:after="0" w:line="161" w:lineRule="exact"/>
        <w:rPr>
          <w:sz w:val="20"/>
          <w:szCs w:val="20"/>
          <w:color w:val="auto"/>
        </w:rPr>
      </w:pPr>
    </w:p>
    <w:p>
      <w:pPr>
        <w:ind w:right="60" w:firstLine="360"/>
        <w:spacing w:after="0" w:line="244" w:lineRule="auto"/>
        <w:rPr>
          <w:sz w:val="20"/>
          <w:szCs w:val="20"/>
          <w:color w:val="auto"/>
        </w:rPr>
      </w:pPr>
      <w:r>
        <w:rPr>
          <w:rFonts w:ascii="Times New Roman" w:cs="Times New Roman" w:eastAsia="Times New Roman" w:hAnsi="Times New Roman"/>
          <w:sz w:val="20"/>
          <w:szCs w:val="20"/>
          <w:color w:val="auto"/>
        </w:rPr>
        <w:t>Our Company only has ten full-time employees, and therefore our dependence on the efforts of any single employee to operate our business is significant. Our current senior management consists of two individuals, Robert E. Cauley, our Chairman and Chief Executive Officer, and G. Hunter Haas, our President, Board member, Chief Investment Officer, Chief Financial Officer and Treasurer. They are supported by others to manage our business. We depend on the diligence, experience and skill of all of our senior executives in managing all aspects of our business, including the selection, acquisition, structuring and monitoring of securities portfolios and associated borrowings. We have entered into contracts and compensation arrangements with Mr. Cauley and Mr. Haas that encourage their continued employment, although these contracts may not prevent either Mr. Cauley or Mr. Haas from leaving our company. While our Company has succession plans in place for the orderly departure of any key individual, the sudden loss of any of our senior executives or other employees could have a short-term adverse impact on our business, financial condition and results of operations.</w:t>
      </w:r>
    </w:p>
    <w:p>
      <w:pPr>
        <w:spacing w:after="0" w:line="194" w:lineRule="exact"/>
        <w:rPr>
          <w:sz w:val="20"/>
          <w:szCs w:val="20"/>
          <w:color w:val="auto"/>
        </w:rPr>
      </w:pPr>
    </w:p>
    <w:p>
      <w:pPr>
        <w:ind w:right="360" w:firstLine="360"/>
        <w:spacing w:after="0" w:line="276" w:lineRule="auto"/>
        <w:rPr>
          <w:sz w:val="20"/>
          <w:szCs w:val="20"/>
          <w:color w:val="auto"/>
        </w:rPr>
      </w:pPr>
      <w:r>
        <w:rPr>
          <w:rFonts w:ascii="Times New Roman" w:cs="Times New Roman" w:eastAsia="Times New Roman" w:hAnsi="Times New Roman"/>
          <w:sz w:val="20"/>
          <w:szCs w:val="20"/>
          <w:i w:val="1"/>
          <w:iCs w:val="1"/>
          <w:color w:val="auto"/>
        </w:rPr>
        <w:t>Our investment in Orchid or other mortgage REIT common stock may fluctuate in value which materially adversely affect our business, financial condition and results of operations.</w:t>
      </w:r>
    </w:p>
    <w:p>
      <w:pPr>
        <w:spacing w:after="0" w:line="1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Investments in the securities of companies that own Agency MBS will be subject to all of the risks associated with the direct</w:t>
      </w:r>
    </w:p>
    <w:p>
      <w:pPr>
        <w:spacing w:after="0" w:line="27" w:lineRule="exact"/>
        <w:rPr>
          <w:sz w:val="20"/>
          <w:szCs w:val="20"/>
          <w:color w:val="auto"/>
        </w:rPr>
      </w:pPr>
    </w:p>
    <w:p>
      <w:pPr>
        <w:ind w:left="20" w:right="100"/>
        <w:spacing w:after="0" w:line="243" w:lineRule="auto"/>
        <w:rPr>
          <w:sz w:val="20"/>
          <w:szCs w:val="20"/>
          <w:color w:val="auto"/>
        </w:rPr>
      </w:pPr>
      <w:r>
        <w:rPr>
          <w:rFonts w:ascii="Times New Roman" w:cs="Times New Roman" w:eastAsia="Times New Roman" w:hAnsi="Times New Roman"/>
          <w:sz w:val="20"/>
          <w:szCs w:val="20"/>
          <w:color w:val="auto"/>
        </w:rPr>
        <w:t>ownership of Agency MBS discussed above that could adversely affect the market price of the investment and the ability of the REIT to pay dividends. In addition, the market value of such securities could be affected by market conditions beyond the Company’s control, such as limited liquidity in the trading market for the securities. A decrease in the dividend payment rate or the market value of the securities could have a material adverse effect on our business, financial condition and results of operations.</w:t>
      </w:r>
    </w:p>
    <w:p>
      <w:pPr>
        <w:spacing w:after="0" w:line="192" w:lineRule="exact"/>
        <w:rPr>
          <w:sz w:val="20"/>
          <w:szCs w:val="20"/>
          <w:color w:val="auto"/>
        </w:rPr>
      </w:pPr>
    </w:p>
    <w:p>
      <w:pPr>
        <w:ind w:left="20" w:right="40" w:firstLine="360"/>
        <w:spacing w:after="0" w:line="258" w:lineRule="auto"/>
        <w:rPr>
          <w:sz w:val="20"/>
          <w:szCs w:val="20"/>
          <w:color w:val="auto"/>
        </w:rPr>
      </w:pPr>
      <w:r>
        <w:rPr>
          <w:rFonts w:ascii="Times New Roman" w:cs="Times New Roman" w:eastAsia="Times New Roman" w:hAnsi="Times New Roman"/>
          <w:sz w:val="20"/>
          <w:szCs w:val="20"/>
          <w:color w:val="auto"/>
        </w:rPr>
        <w:t>In addition, the Company’s ability to dispose of Orchid’s common equity securities may be hindered due to its relationship as Orchid’s manager and the possession of inside information. Also, if we or other significant investors sell or are perceived as intending to sell a substantial number of shares in a short period of time, the market price of our remaining shares could be adversely affected.</w:t>
      </w:r>
    </w:p>
    <w:p>
      <w:pPr>
        <w:spacing w:after="0" w:line="180" w:lineRule="exact"/>
        <w:rPr>
          <w:sz w:val="20"/>
          <w:szCs w:val="20"/>
          <w:color w:val="auto"/>
        </w:rPr>
      </w:pPr>
    </w:p>
    <w:p>
      <w:pPr>
        <w:ind w:left="380" w:right="160"/>
        <w:spacing w:after="0" w:line="276" w:lineRule="auto"/>
        <w:rPr>
          <w:sz w:val="20"/>
          <w:szCs w:val="20"/>
          <w:color w:val="auto"/>
        </w:rPr>
      </w:pPr>
      <w:r>
        <w:rPr>
          <w:rFonts w:ascii="Times New Roman" w:cs="Times New Roman" w:eastAsia="Times New Roman" w:hAnsi="Times New Roman"/>
          <w:sz w:val="20"/>
          <w:szCs w:val="20"/>
          <w:i w:val="1"/>
          <w:iCs w:val="1"/>
          <w:color w:val="auto"/>
        </w:rPr>
        <w:t>The termination or non-renewal of our management agreement with Orchid would significantly reduce our revenues in the near term.</w:t>
      </w:r>
    </w:p>
    <w:p>
      <w:pPr>
        <w:spacing w:after="0" w:line="159" w:lineRule="exact"/>
        <w:rPr>
          <w:sz w:val="20"/>
          <w:szCs w:val="20"/>
          <w:color w:val="auto"/>
        </w:rPr>
      </w:pPr>
    </w:p>
    <w:p>
      <w:pPr>
        <w:ind w:left="20" w:right="20" w:firstLine="360"/>
        <w:spacing w:after="0" w:line="243" w:lineRule="auto"/>
        <w:rPr>
          <w:sz w:val="20"/>
          <w:szCs w:val="20"/>
          <w:color w:val="auto"/>
        </w:rPr>
      </w:pPr>
      <w:r>
        <w:rPr>
          <w:rFonts w:ascii="Times New Roman" w:cs="Times New Roman" w:eastAsia="Times New Roman" w:hAnsi="Times New Roman"/>
          <w:sz w:val="20"/>
          <w:szCs w:val="20"/>
          <w:color w:val="auto"/>
        </w:rPr>
        <w:t>The significance of the management fees and overhead reimbursements relating to the services provided by Bimini Advisors to Orchid has increased, and is expected to continue to increase, as Orchid’s capital base continues to grow. The management agreement is automatically renewed in accordance with the terms of the agreement, each year, on February 20. However, with the consent of the majority of Orchid’s independent directors, and upon providing 180- days’ prior written notice, Orchid may elect not to renew the management agreement. If Orchid elects to not renew the agreement because of a decision by its Board of Directors that the management fee is unfair, Bimini Advisors will have the right to renegotiate a mutually agreeable management fee. If Orchid were to terminate the management agreement, or elect not to renew such agreement, in either case without cause, it would be obligated to pay to Bimini Advisors a termination fee equal to three times the average annual management fee, as defined in the management agreement, before or on the last day of the initial term or automatic renewal term. Notwithstanding the termination fee, The loss of the revenues from the relationship with Orchid, if it were to occur, would materially adversely affect our business, results of operation,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800"/>
          </w:cols>
          <w:pgMar w:left="700" w:top="785" w:right="740" w:bottom="135" w:gutter="0" w:footer="0" w:header="0"/>
        </w:sectPr>
      </w:pPr>
    </w:p>
    <w:bookmarkStart w:id="26" w:name="page27"/>
    <w:bookmarkEnd w:id="26"/>
    <w:p>
      <w:pPr>
        <w:ind w:left="360"/>
        <w:spacing w:after="0"/>
        <w:rPr>
          <w:sz w:val="20"/>
          <w:szCs w:val="20"/>
          <w:color w:val="auto"/>
        </w:rPr>
      </w:pPr>
      <w:r>
        <w:rPr>
          <w:rFonts w:ascii="Times New Roman" w:cs="Times New Roman" w:eastAsia="Times New Roman" w:hAnsi="Times New Roman"/>
          <w:sz w:val="20"/>
          <w:szCs w:val="20"/>
          <w:i w:val="1"/>
          <w:iCs w:val="1"/>
          <w:color w:val="auto"/>
        </w:rPr>
        <w:t>We may be subject to adverse legislative or regulatory changes that could reduce the market price of our common stock.</w:t>
      </w:r>
    </w:p>
    <w:p>
      <w:pPr>
        <w:spacing w:after="0" w:line="229" w:lineRule="exact"/>
        <w:rPr>
          <w:sz w:val="20"/>
          <w:szCs w:val="20"/>
          <w:color w:val="auto"/>
        </w:rPr>
      </w:pPr>
    </w:p>
    <w:p>
      <w:pPr>
        <w:ind w:right="60" w:firstLine="360"/>
        <w:spacing w:after="0" w:line="246" w:lineRule="auto"/>
        <w:rPr>
          <w:sz w:val="20"/>
          <w:szCs w:val="20"/>
          <w:color w:val="auto"/>
        </w:rPr>
      </w:pPr>
      <w:r>
        <w:rPr>
          <w:rFonts w:ascii="Times New Roman" w:cs="Times New Roman" w:eastAsia="Times New Roman" w:hAnsi="Times New Roman"/>
          <w:sz w:val="20"/>
          <w:szCs w:val="20"/>
          <w:color w:val="auto"/>
        </w:rPr>
        <w:t>At any time, laws or regulations, or the administrative or judicial interpretations of those laws or regulations, which impact our business may be amended. In addition, the markets for MBS and derivatives, including interest rate swaps, have been the subject of intense scrutiny in recent years. We cannot predict if or when any new law, regulation or administrative or judicial interpretation, or any amendment to any existing law, regulation or administrative or judicial interpretation, will be adopted or promulgated or will become effective. Additionally, revisions to these laws, regulations or administrative or judicial interpretations could cause us to change our investments. We could be materially adversely affected by any such change to any existing, or any new, law, regulation or administrative or judicial interpretation, which could reduce the market price of our common stock.</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Risks Related to Our Organization and Structure</w:t>
      </w:r>
    </w:p>
    <w:p>
      <w:pPr>
        <w:spacing w:after="0" w:line="236" w:lineRule="exact"/>
        <w:rPr>
          <w:sz w:val="20"/>
          <w:szCs w:val="20"/>
          <w:color w:val="auto"/>
        </w:rPr>
      </w:pPr>
    </w:p>
    <w:p>
      <w:pPr>
        <w:ind w:left="360" w:right="480"/>
        <w:spacing w:after="0" w:line="276" w:lineRule="auto"/>
        <w:rPr>
          <w:sz w:val="20"/>
          <w:szCs w:val="20"/>
          <w:color w:val="auto"/>
        </w:rPr>
      </w:pPr>
      <w:r>
        <w:rPr>
          <w:rFonts w:ascii="Times New Roman" w:cs="Times New Roman" w:eastAsia="Times New Roman" w:hAnsi="Times New Roman"/>
          <w:sz w:val="20"/>
          <w:szCs w:val="20"/>
          <w:i w:val="1"/>
          <w:iCs w:val="1"/>
          <w:color w:val="auto"/>
        </w:rPr>
        <w:t>Loss of our exemption from regulation under the Investment Company Act would negatively affect the value of shares of our common stock.</w:t>
      </w:r>
    </w:p>
    <w:p>
      <w:pPr>
        <w:spacing w:after="0" w:line="159" w:lineRule="exact"/>
        <w:rPr>
          <w:sz w:val="20"/>
          <w:szCs w:val="20"/>
          <w:color w:val="auto"/>
        </w:rPr>
      </w:pPr>
    </w:p>
    <w:p>
      <w:pPr>
        <w:ind w:firstLine="360"/>
        <w:spacing w:after="0" w:line="244" w:lineRule="auto"/>
        <w:rPr>
          <w:sz w:val="20"/>
          <w:szCs w:val="20"/>
          <w:color w:val="auto"/>
        </w:rPr>
      </w:pPr>
      <w:r>
        <w:rPr>
          <w:rFonts w:ascii="Times New Roman" w:cs="Times New Roman" w:eastAsia="Times New Roman" w:hAnsi="Times New Roman"/>
          <w:sz w:val="20"/>
          <w:szCs w:val="20"/>
          <w:color w:val="auto"/>
        </w:rPr>
        <w:t>We have operated and intend to continue to operate our business so as to be exempt from registration under the Investment Company Act, because we are “primarily engaged in the business of purchasing or otherwise acquiring mortgages and other liens on and interests in real estate.” Specifically, we invest and intend to continue to invest so that at least 55% of the assets that we own on an unconsolidated basis consist of qualifying mortgages and other liens and interests in real estate, which are collectively referred to as “qualifying real estate assets,” and so that at least 80% of the assets we own on an unconsolidated basis consist of real estate-related assets (including our qualifying real estate assets). We treat Fannie Mae, Freddie Mac and Ginnie Mae whole-pool residential mortgage PT securities issued with respect to an underlying pool of mortgage loans in which we hold all of the certificates issued by the pool as qualifying real estate assets based on no-action letters issued by the SEC. To the extent that the SEC publishes new or different guidance with respect to these matters, we may fail to qualify for this exemption.</w:t>
      </w:r>
    </w:p>
    <w:p>
      <w:pPr>
        <w:spacing w:after="0" w:line="197" w:lineRule="exact"/>
        <w:rPr>
          <w:sz w:val="20"/>
          <w:szCs w:val="20"/>
          <w:color w:val="auto"/>
        </w:rPr>
      </w:pPr>
    </w:p>
    <w:p>
      <w:pPr>
        <w:ind w:firstLine="360"/>
        <w:spacing w:after="0" w:line="246" w:lineRule="auto"/>
        <w:rPr>
          <w:sz w:val="20"/>
          <w:szCs w:val="20"/>
          <w:color w:val="auto"/>
        </w:rPr>
      </w:pPr>
      <w:r>
        <w:rPr>
          <w:rFonts w:ascii="Times New Roman" w:cs="Times New Roman" w:eastAsia="Times New Roman" w:hAnsi="Times New Roman"/>
          <w:sz w:val="20"/>
          <w:szCs w:val="20"/>
          <w:color w:val="auto"/>
        </w:rPr>
        <w:t>If we fail to qualify for this exemption and for any other exemption, we could be required to restructure our activities in a manner that, or at a time when, we would not otherwise choose to do so, which could negatively affect the value of shares of our common stock and our ability to distribute dividends. For example, if the market value of our investments in CMOs or structured Agency MBS, neither of which are qualifying real estate assets for Investment Company Act purposes, were to increase by an amount that resulted in less than 55% of our assets being invested in PT Agency MBS, we might have to sell CMOs or structured Agency MBS in order to maintain our exemption from the Investment Company Act. The sale could occur during adverse market conditions, and we could be forced to accept a price below that which we believe is acceptable.</w:t>
      </w:r>
    </w:p>
    <w:p>
      <w:pPr>
        <w:spacing w:after="0" w:line="190" w:lineRule="exact"/>
        <w:rPr>
          <w:sz w:val="20"/>
          <w:szCs w:val="20"/>
          <w:color w:val="auto"/>
        </w:rPr>
      </w:pPr>
    </w:p>
    <w:p>
      <w:pPr>
        <w:ind w:right="140" w:firstLine="360"/>
        <w:spacing w:after="0" w:line="252" w:lineRule="auto"/>
        <w:rPr>
          <w:sz w:val="20"/>
          <w:szCs w:val="20"/>
          <w:color w:val="auto"/>
        </w:rPr>
      </w:pPr>
      <w:r>
        <w:rPr>
          <w:rFonts w:ascii="Times New Roman" w:cs="Times New Roman" w:eastAsia="Times New Roman" w:hAnsi="Times New Roman"/>
          <w:sz w:val="20"/>
          <w:szCs w:val="20"/>
          <w:color w:val="auto"/>
        </w:rPr>
        <w:t>Alternatively, if we fail to qualify for this exemption and for any other exemption, we may have to register under the Investment Company Act and we could become subject to substantial regulation with respect to our capital structure (including our ability to use leverage), management, operations, transactions with affiliated persons (as defined in the Investment Company Act), portfolio composition, including restrictions with respect to diversification and industry concentration, and other matters.</w:t>
      </w:r>
    </w:p>
    <w:p>
      <w:pPr>
        <w:spacing w:after="0" w:line="184" w:lineRule="exact"/>
        <w:rPr>
          <w:sz w:val="20"/>
          <w:szCs w:val="20"/>
          <w:color w:val="auto"/>
        </w:rPr>
      </w:pPr>
    </w:p>
    <w:p>
      <w:pPr>
        <w:ind w:right="20" w:firstLine="360"/>
        <w:spacing w:after="0" w:line="247" w:lineRule="auto"/>
        <w:rPr>
          <w:sz w:val="20"/>
          <w:szCs w:val="20"/>
          <w:color w:val="auto"/>
        </w:rPr>
      </w:pPr>
      <w:r>
        <w:rPr>
          <w:rFonts w:ascii="Times New Roman" w:cs="Times New Roman" w:eastAsia="Times New Roman" w:hAnsi="Times New Roman"/>
          <w:sz w:val="20"/>
          <w:szCs w:val="20"/>
          <w:color w:val="auto"/>
        </w:rPr>
        <w:t>We may be required at times to adopt less efficient methods of financing certain of our securities, and we may be precluded from acquiring certain types of higher yielding securities. The net effect of these factors would be to lower our net interest income. If we fail to qualify for an exemption from registration as an investment company or an exclusion from the definition of an investment company, our ability to use leverage would be substantially reduced, and we would not be able to conduct our business as described in this prospectus. Our business will be materially and adversely affected if we fail to qualify for and maintain an exemption from regulation pursuant to the Investment Company Act.</w:t>
      </w:r>
    </w:p>
    <w:p>
      <w:pPr>
        <w:spacing w:after="0" w:line="193" w:lineRule="exact"/>
        <w:rPr>
          <w:sz w:val="20"/>
          <w:szCs w:val="20"/>
          <w:color w:val="auto"/>
        </w:rPr>
      </w:pPr>
    </w:p>
    <w:p>
      <w:pPr>
        <w:jc w:val="both"/>
        <w:ind w:left="360" w:right="160"/>
        <w:spacing w:after="0" w:line="257" w:lineRule="auto"/>
        <w:rPr>
          <w:sz w:val="20"/>
          <w:szCs w:val="20"/>
          <w:color w:val="auto"/>
        </w:rPr>
      </w:pPr>
      <w:r>
        <w:rPr>
          <w:rFonts w:ascii="Times New Roman" w:cs="Times New Roman" w:eastAsia="Times New Roman" w:hAnsi="Times New Roman"/>
          <w:sz w:val="20"/>
          <w:szCs w:val="20"/>
          <w:i w:val="1"/>
          <w:iCs w:val="1"/>
          <w:color w:val="auto"/>
        </w:rPr>
        <w:t>Failure to obtain and maintain an exemption from being regulated as a commodity pool operator could subject us to additional regulation and compliance requirements and may result in fines and other penalties which could materially adversely affect our business and financial condition.</w:t>
      </w:r>
    </w:p>
    <w:p>
      <w:pPr>
        <w:spacing w:after="0" w:line="179" w:lineRule="exact"/>
        <w:rPr>
          <w:sz w:val="20"/>
          <w:szCs w:val="20"/>
          <w:color w:val="auto"/>
        </w:rPr>
      </w:pPr>
    </w:p>
    <w:p>
      <w:pPr>
        <w:ind w:right="120" w:firstLine="360"/>
        <w:spacing w:after="0" w:line="247" w:lineRule="auto"/>
        <w:rPr>
          <w:sz w:val="20"/>
          <w:szCs w:val="20"/>
          <w:color w:val="auto"/>
        </w:rPr>
      </w:pPr>
      <w:r>
        <w:rPr>
          <w:rFonts w:ascii="Times New Roman" w:cs="Times New Roman" w:eastAsia="Times New Roman" w:hAnsi="Times New Roman"/>
          <w:sz w:val="20"/>
          <w:szCs w:val="20"/>
          <w:color w:val="auto"/>
        </w:rPr>
        <w:t>The Dodd-Frank Act established a comprehensive regulatory framework for derivative contracts commonly referred to as “swaps.” As a result, any investment fund that trades in swaps may be considered a “commodity pool,” which would cause its operators (in some cases the fund’s directors) to be regulated as “commodity pool operators,” (“CPOs”). Under new rules adopted by the U.S. Commodity Futures Trading Commission, (the “CFTC”), those funds that become commodity pools solely because of their use of swaps must register with the National Futures Association (the “NFA”). Registration requires compliance with the CFTC’s regulations and the NFA’s rules with respect to capital raising, disclosure, reporting, recordkeeping and other business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780"/>
          </w:cols>
          <w:pgMar w:left="720" w:top="787" w:right="740" w:bottom="135" w:gutter="0" w:footer="0" w:header="0"/>
        </w:sectPr>
      </w:pPr>
    </w:p>
    <w:bookmarkStart w:id="27" w:name="page28"/>
    <w:bookmarkEnd w:id="27"/>
    <w:p>
      <w:pPr>
        <w:jc w:val="center"/>
        <w:ind w:right="160"/>
        <w:spacing w:after="0"/>
        <w:rPr>
          <w:sz w:val="20"/>
          <w:szCs w:val="20"/>
          <w:color w:val="auto"/>
        </w:rPr>
      </w:pPr>
      <w:r>
        <w:rPr>
          <w:rFonts w:ascii="Times New Roman" w:cs="Times New Roman" w:eastAsia="Times New Roman" w:hAnsi="Times New Roman"/>
          <w:sz w:val="20"/>
          <w:szCs w:val="20"/>
          <w:color w:val="auto"/>
        </w:rPr>
        <w:t>We use hedging instruments in conjunction with our investment portfolio and related borrowings to reduce or mitigate risks</w:t>
      </w:r>
    </w:p>
    <w:p>
      <w:pPr>
        <w:spacing w:after="0" w:line="28"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associated with changes in interest rates, mortgage spreads, yield curve shapes and market volatility. These hedging instruments may include interest rate swaps, interest rate futures and options on interest rate futures. We do not currently engage in any speculative derivatives activities or other non-hedging transactions using swaps, futures or options on futures. We do not use these instruments for the purpose of trading in commodity interests, and we do not consider the Company or its operations to be a commodity pool as to which CPO registration or compliance is required. We have received a no-action letter from the CFTC for relief from registration as a commodity pool operator and commodity trading advisor.</w:t>
      </w:r>
    </w:p>
    <w:p>
      <w:pPr>
        <w:spacing w:after="0" w:line="197" w:lineRule="exact"/>
        <w:rPr>
          <w:sz w:val="20"/>
          <w:szCs w:val="20"/>
          <w:color w:val="auto"/>
        </w:rPr>
      </w:pPr>
    </w:p>
    <w:p>
      <w:pPr>
        <w:ind w:firstLine="360"/>
        <w:spacing w:after="0" w:line="244" w:lineRule="auto"/>
        <w:rPr>
          <w:sz w:val="20"/>
          <w:szCs w:val="20"/>
          <w:color w:val="auto"/>
        </w:rPr>
      </w:pPr>
      <w:r>
        <w:rPr>
          <w:rFonts w:ascii="Times New Roman" w:cs="Times New Roman" w:eastAsia="Times New Roman" w:hAnsi="Times New Roman"/>
          <w:sz w:val="20"/>
          <w:szCs w:val="20"/>
          <w:color w:val="auto"/>
        </w:rPr>
        <w:t>The CFTC has substantial enforcement power with respect to violations of the laws over which it has jurisdiction, including their anti-fraud and anti-manipulation provisions. For example, the CFTC may suspend or revoke the registration of or the no-action relief afforded to a person who fails to comply with commodities laws and regulations, prohibit such a person from trading or doing business with registered entities, impose civil money penalties, require restitution and seek fines or imprisonment for criminal violations. In the event that the CFTC asserts that we are not entitled to the no-action letter relief claimed, we may be obligated to furnish additional disclosures and reports, among other things. Further, a private right of action exists against those who violate the laws over which the CFTC has jurisdiction or who willfully aid, abet, counsel, induce or procure a violation of those laws. In the event that we fail to comply with statutory requirements relating to derivatives or with the CFTC’s rules thereunder, including the no-action letter described above, we may be subject to significant fines, penalties and other civil or governmental actions or proceedings, any of which could have a materially adverse effect on our business, financial condition and results of operations.</w:t>
      </w:r>
    </w:p>
    <w:p>
      <w:pPr>
        <w:spacing w:after="0" w:line="194" w:lineRule="exact"/>
        <w:rPr>
          <w:sz w:val="20"/>
          <w:szCs w:val="20"/>
          <w:color w:val="auto"/>
        </w:rPr>
      </w:pPr>
    </w:p>
    <w:p>
      <w:pPr>
        <w:jc w:val="both"/>
        <w:ind w:left="360" w:right="80"/>
        <w:spacing w:after="0" w:line="257" w:lineRule="auto"/>
        <w:rPr>
          <w:sz w:val="20"/>
          <w:szCs w:val="20"/>
          <w:color w:val="auto"/>
        </w:rPr>
      </w:pPr>
      <w:r>
        <w:rPr>
          <w:rFonts w:ascii="Times New Roman" w:cs="Times New Roman" w:eastAsia="Times New Roman" w:hAnsi="Times New Roman"/>
          <w:sz w:val="20"/>
          <w:szCs w:val="20"/>
          <w:i w:val="1"/>
          <w:iCs w:val="1"/>
          <w:color w:val="auto"/>
        </w:rPr>
        <w:t>Our Rights Plan could prevent a change in our control that would otherwise be favorable to our stockholders; however, if it fails to prevent a change in our control, we may lose all or most of the anticipated tax benefits associated with our prior losses, which [could/would] materially adversely affect our financial condition.</w:t>
      </w:r>
    </w:p>
    <w:p>
      <w:pPr>
        <w:spacing w:after="0" w:line="179" w:lineRule="exact"/>
        <w:rPr>
          <w:sz w:val="20"/>
          <w:szCs w:val="20"/>
          <w:color w:val="auto"/>
        </w:rPr>
      </w:pPr>
    </w:p>
    <w:p>
      <w:pPr>
        <w:ind w:right="80" w:firstLine="360"/>
        <w:spacing w:after="0" w:line="243" w:lineRule="auto"/>
        <w:rPr>
          <w:sz w:val="20"/>
          <w:szCs w:val="20"/>
          <w:color w:val="auto"/>
        </w:rPr>
      </w:pPr>
      <w:r>
        <w:rPr>
          <w:rFonts w:ascii="Times New Roman" w:cs="Times New Roman" w:eastAsia="Times New Roman" w:hAnsi="Times New Roman"/>
          <w:sz w:val="20"/>
          <w:szCs w:val="20"/>
          <w:color w:val="auto"/>
        </w:rPr>
        <w:t>Our Board of Directors has adopted a Rights Agreement (as amended, the “Rights Plan”) in an effort to protect against a possible limitation on our ability to use our NOLs and net capital loss carryovers (“NCLs”) by discouraging investors from aggregating ownership of our Class A Common Stock and triggering an “ownership change” for purposes of Sections 382 and 383 of the Code. Under the terms of the Rights Plan, in general, if a person or group acquires ownership of 4.9% or more of the outstanding shares of our Class A Common Stock without the consent of our Board of Directors (an “Acquiring Person”), all of our other stockholders will have the right to purchase securities from us at a discount to such securities’ fair market value, thus causing substantial dilution to the Acquiring Person. As a result, the Rights Plan may have the effect of preventing or impeding a change in control not approved by our Board of Directors and, notwithstanding its purpose, could adversely affect our stockholders’ ability to realize a premium over the then-prevailing market price for our common stock in connection with such a transaction. In addition, because our Board of Directors may consent to certain transactions, the Rights Plan gives our Board of Directors significant discretion over whether a potential acquirer’s efforts to acquire a large interest in us will be successful.</w:t>
      </w:r>
    </w:p>
    <w:p>
      <w:pPr>
        <w:spacing w:after="0" w:line="199" w:lineRule="exact"/>
        <w:rPr>
          <w:sz w:val="20"/>
          <w:szCs w:val="20"/>
          <w:color w:val="auto"/>
        </w:rPr>
      </w:pPr>
    </w:p>
    <w:p>
      <w:pPr>
        <w:ind w:firstLine="360"/>
        <w:spacing w:after="0" w:line="247" w:lineRule="auto"/>
        <w:rPr>
          <w:sz w:val="20"/>
          <w:szCs w:val="20"/>
          <w:color w:val="auto"/>
        </w:rPr>
      </w:pPr>
      <w:r>
        <w:rPr>
          <w:rFonts w:ascii="Times New Roman" w:cs="Times New Roman" w:eastAsia="Times New Roman" w:hAnsi="Times New Roman"/>
          <w:sz w:val="20"/>
          <w:szCs w:val="20"/>
          <w:color w:val="auto"/>
        </w:rPr>
        <w:t>Our Board of Directors adopted a first amendment to the Rights Plan in December 2025. The Company plans to submit the amendment for stockholder approval at the Company’s 2026 annual meeting of stockholders. The failure to obtain such approval will result in automatic termination of the Rights Plan on June 30, 2026. There can be no assurance that the Rights Plan will prevent an “ownership change” within the meaning of Sections 382 and 383 of the Code, especially if the Rights Plan were to terminate, in which case we may lose all or most of the anticipated tax benefits associated with our prior losses, which [could/would] materially adversely affect our financial condition.</w:t>
      </w:r>
    </w:p>
    <w:p>
      <w:pPr>
        <w:spacing w:after="0" w:line="193" w:lineRule="exact"/>
        <w:rPr>
          <w:sz w:val="20"/>
          <w:szCs w:val="20"/>
          <w:color w:val="auto"/>
        </w:rPr>
      </w:pPr>
    </w:p>
    <w:p>
      <w:pPr>
        <w:ind w:right="400" w:firstLine="360"/>
        <w:spacing w:after="0" w:line="275" w:lineRule="auto"/>
        <w:rPr>
          <w:sz w:val="20"/>
          <w:szCs w:val="20"/>
          <w:color w:val="auto"/>
        </w:rPr>
      </w:pPr>
      <w:r>
        <w:rPr>
          <w:rFonts w:ascii="Times New Roman" w:cs="Times New Roman" w:eastAsia="Times New Roman" w:hAnsi="Times New Roman"/>
          <w:sz w:val="20"/>
          <w:szCs w:val="20"/>
          <w:i w:val="1"/>
          <w:iCs w:val="1"/>
          <w:color w:val="auto"/>
        </w:rPr>
        <w:t>Certain provisions of applicable law and our charter and bylaws may restrict business combination opportunities that would otherwise be favorable to our stockholders.</w:t>
      </w:r>
    </w:p>
    <w:p>
      <w:pPr>
        <w:spacing w:after="0" w:line="161" w:lineRule="exact"/>
        <w:rPr>
          <w:sz w:val="20"/>
          <w:szCs w:val="20"/>
          <w:color w:val="auto"/>
        </w:rPr>
      </w:pPr>
    </w:p>
    <w:p>
      <w:pPr>
        <w:ind w:right="40" w:firstLine="360"/>
        <w:spacing w:after="0" w:line="244" w:lineRule="auto"/>
        <w:rPr>
          <w:sz w:val="20"/>
          <w:szCs w:val="20"/>
          <w:color w:val="auto"/>
        </w:rPr>
      </w:pPr>
      <w:r>
        <w:rPr>
          <w:rFonts w:ascii="Times New Roman" w:cs="Times New Roman" w:eastAsia="Times New Roman" w:hAnsi="Times New Roman"/>
          <w:sz w:val="20"/>
          <w:szCs w:val="20"/>
          <w:color w:val="auto"/>
        </w:rPr>
        <w:t>Our charter and bylaws and Maryland law contain provisions that may delay, defer or prevent a change in control or other transaction that might involve a premium price for our common stock or otherwise be in the best interests of our stockholders, including; business combination provisions; supermajority vote and cause requirements for removal of directors; provisions that vacancies on our Board of Directors may be filled only by the remaining directors, for the full term of the directorship in which the vacancy occurred; the power of our Board of Directors to increase or decrease the aggregate number of authorized shares of stock or the number of shares of any class or series of stock; the power of our Board of Directors to cause us to issue additional shares of stock of any class or series and to fix the terms of one or more classes or series of stock without stockholder approval; the restrictions on ownership and transfer of our stock and advance notice requirements for director nominations and stockholder proposals. These provisions could discourage unsolicited acquisition proposals or make it more difficult for a third party to gain control of us, which could adversely affect the market price of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780"/>
          </w:cols>
          <w:pgMar w:left="720" w:top="785" w:right="740" w:bottom="135" w:gutter="0" w:footer="0" w:header="0"/>
        </w:sectPr>
      </w:pPr>
    </w:p>
    <w:bookmarkStart w:id="28" w:name="page29"/>
    <w:bookmarkEnd w:id="28"/>
    <w:p>
      <w:pPr>
        <w:ind w:left="360" w:right="40"/>
        <w:spacing w:after="0" w:line="276" w:lineRule="auto"/>
        <w:rPr>
          <w:sz w:val="20"/>
          <w:szCs w:val="20"/>
          <w:color w:val="auto"/>
        </w:rPr>
      </w:pPr>
      <w:r>
        <w:rPr>
          <w:rFonts w:ascii="Times New Roman" w:cs="Times New Roman" w:eastAsia="Times New Roman" w:hAnsi="Times New Roman"/>
          <w:sz w:val="20"/>
          <w:szCs w:val="20"/>
          <w:i w:val="1"/>
          <w:iCs w:val="1"/>
          <w:color w:val="auto"/>
        </w:rPr>
        <w:t>The Company's rights and the rights of our stockholders to take action and recover against our directors and officers are limited, which could limit your recourse in the event of actions that may be considered to be not in your best interests.</w:t>
      </w:r>
    </w:p>
    <w:p>
      <w:pPr>
        <w:spacing w:after="0" w:line="159" w:lineRule="exact"/>
        <w:rPr>
          <w:sz w:val="20"/>
          <w:szCs w:val="20"/>
          <w:color w:val="auto"/>
        </w:rPr>
      </w:pPr>
    </w:p>
    <w:p>
      <w:pPr>
        <w:ind w:right="180" w:firstLine="360"/>
        <w:spacing w:after="0" w:line="278" w:lineRule="auto"/>
        <w:rPr>
          <w:sz w:val="20"/>
          <w:szCs w:val="20"/>
          <w:color w:val="auto"/>
        </w:rPr>
      </w:pPr>
      <w:r>
        <w:rPr>
          <w:rFonts w:ascii="Times New Roman" w:cs="Times New Roman" w:eastAsia="Times New Roman" w:hAnsi="Times New Roman"/>
          <w:sz w:val="20"/>
          <w:szCs w:val="20"/>
          <w:color w:val="auto"/>
        </w:rPr>
        <w:t>Our charter limits the liability of our directors and officers to the Company and our stockholders for money damages, except for liability resulting from:</w:t>
      </w:r>
    </w:p>
    <w:p>
      <w:pPr>
        <w:spacing w:after="0" w:line="162" w:lineRule="exact"/>
        <w:rPr>
          <w:sz w:val="20"/>
          <w:szCs w:val="20"/>
          <w:color w:val="auto"/>
        </w:rPr>
      </w:pPr>
    </w:p>
    <w:p>
      <w:pPr>
        <w:ind w:left="1080" w:hanging="350"/>
        <w:spacing w:after="0"/>
        <w:tabs>
          <w:tab w:leader="none" w:pos="10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receipt of an improper benefit or profit in money, property or services; or</w:t>
      </w:r>
    </w:p>
    <w:p>
      <w:pPr>
        <w:spacing w:after="0" w:line="36" w:lineRule="exact"/>
        <w:rPr>
          <w:rFonts w:ascii="Times New Roman" w:cs="Times New Roman" w:eastAsia="Times New Roman" w:hAnsi="Times New Roman"/>
          <w:sz w:val="20"/>
          <w:szCs w:val="20"/>
          <w:color w:val="auto"/>
        </w:rPr>
      </w:pPr>
    </w:p>
    <w:p>
      <w:pPr>
        <w:ind w:left="1080" w:right="200" w:hanging="350"/>
        <w:spacing w:after="0" w:line="250" w:lineRule="auto"/>
        <w:tabs>
          <w:tab w:leader="none" w:pos="10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final judgment based upon a finding of active and deliberate dishonesty by the director or officer that was material to the cause of action adjudicated.</w:t>
      </w:r>
    </w:p>
    <w:p>
      <w:pPr>
        <w:spacing w:after="0" w:line="189" w:lineRule="exact"/>
        <w:rPr>
          <w:sz w:val="20"/>
          <w:szCs w:val="20"/>
          <w:color w:val="auto"/>
        </w:rPr>
      </w:pPr>
    </w:p>
    <w:p>
      <w:pPr>
        <w:ind w:right="20" w:firstLine="360"/>
        <w:spacing w:after="0" w:line="244" w:lineRule="auto"/>
        <w:rPr>
          <w:sz w:val="20"/>
          <w:szCs w:val="20"/>
          <w:color w:val="auto"/>
        </w:rPr>
      </w:pPr>
      <w:r>
        <w:rPr>
          <w:rFonts w:ascii="Times New Roman" w:cs="Times New Roman" w:eastAsia="Times New Roman" w:hAnsi="Times New Roman"/>
          <w:sz w:val="20"/>
          <w:szCs w:val="20"/>
          <w:color w:val="auto"/>
        </w:rPr>
        <w:t>The Company has entered into indemnification agreements with our directors and executive officers that obligate the Company to indemnify them to the maximum extent permitted by Maryland law. In addition, our charter authorizes the Company to obligate itself to indemnify our present and former directors and officers for actions taken by them in those and other capacities to the maximum extent permitted by Maryland law. The Company's bylaws require us, to the maximum extent permitted by Maryland law, to indemnify each present and former director or officer in the defense of any proceeding to which he or she is made, or threatened to be made, a party by reason of his or her service to us. In addition, we may be obligated to advance the defense costs incurred by our directors and officers. As a result, the Company and our stockholders may have more limited rights against our directors and officers than might otherwise exist absent the provisions in our charter, bylaws and indemnification agreements or that might exist with other companies.</w:t>
      </w:r>
    </w:p>
    <w:p>
      <w:pPr>
        <w:spacing w:after="0" w:line="19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U.S. Federal Income Tax Risks</w:t>
      </w:r>
    </w:p>
    <w:p>
      <w:pPr>
        <w:spacing w:after="0" w:line="2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An investment in our common stock has various income tax risks.</w:t>
      </w:r>
    </w:p>
    <w:p>
      <w:pPr>
        <w:spacing w:after="0" w:line="229" w:lineRule="exact"/>
        <w:rPr>
          <w:sz w:val="20"/>
          <w:szCs w:val="20"/>
          <w:color w:val="auto"/>
        </w:rPr>
      </w:pPr>
    </w:p>
    <w:p>
      <w:pPr>
        <w:ind w:right="20" w:firstLine="360"/>
        <w:spacing w:after="0" w:line="249" w:lineRule="auto"/>
        <w:rPr>
          <w:sz w:val="20"/>
          <w:szCs w:val="20"/>
          <w:color w:val="auto"/>
        </w:rPr>
      </w:pPr>
      <w:r>
        <w:rPr>
          <w:rFonts w:ascii="Times New Roman" w:cs="Times New Roman" w:eastAsia="Times New Roman" w:hAnsi="Times New Roman"/>
          <w:sz w:val="20"/>
          <w:szCs w:val="20"/>
          <w:color w:val="auto"/>
        </w:rPr>
        <w:t>This summary is limited to the U.S. federal income tax risks addressed below. Additional risks or issues may exist that are not addressed in this Form 10-K and that could affect the U.S. federal and state income tax treatment of us or our stockholders. This summary is not intended to be used and cannot be used by any stockholder to avoid penalties that may be imposed on stockholders under the Code. Management strongly urges stockholders to seek advice based on their particular circumstances from their tax advisor concerning the effects of federal, state and local income tax law on an investment in our common stock.</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Our ability to use NOLs and NCLs to reduce our taxable income may be limited.</w:t>
      </w:r>
    </w:p>
    <w:p>
      <w:pPr>
        <w:spacing w:after="0" w:line="229" w:lineRule="exact"/>
        <w:rPr>
          <w:sz w:val="20"/>
          <w:szCs w:val="20"/>
          <w:color w:val="auto"/>
        </w:rPr>
      </w:pPr>
    </w:p>
    <w:p>
      <w:pPr>
        <w:ind w:right="380" w:firstLine="360"/>
        <w:spacing w:after="0" w:line="252" w:lineRule="auto"/>
        <w:rPr>
          <w:sz w:val="20"/>
          <w:szCs w:val="20"/>
          <w:color w:val="auto"/>
        </w:rPr>
      </w:pPr>
      <w:r>
        <w:rPr>
          <w:rFonts w:ascii="Times New Roman" w:cs="Times New Roman" w:eastAsia="Times New Roman" w:hAnsi="Times New Roman"/>
          <w:sz w:val="20"/>
          <w:szCs w:val="20"/>
          <w:color w:val="auto"/>
        </w:rPr>
        <w:t>We must have taxable income or net capital gains to benefit from our NOLs and NCLs, as well as certain other tax attributes. Although we believe that a significant portion of our NOLs will be available to use to offset the future taxable income of Bimini Capital and Royal Palm, no assurance can be provided that we will have taxable income or gains in the future to apply against our remaining NOLs and NCLs.</w:t>
      </w:r>
    </w:p>
    <w:p>
      <w:pPr>
        <w:spacing w:after="0" w:line="184" w:lineRule="exact"/>
        <w:rPr>
          <w:sz w:val="20"/>
          <w:szCs w:val="20"/>
          <w:color w:val="auto"/>
        </w:rPr>
      </w:pPr>
    </w:p>
    <w:p>
      <w:pPr>
        <w:ind w:firstLine="360"/>
        <w:spacing w:after="0" w:line="243" w:lineRule="auto"/>
        <w:rPr>
          <w:sz w:val="20"/>
          <w:szCs w:val="20"/>
          <w:color w:val="auto"/>
        </w:rPr>
      </w:pPr>
      <w:r>
        <w:rPr>
          <w:rFonts w:ascii="Times New Roman" w:cs="Times New Roman" w:eastAsia="Times New Roman" w:hAnsi="Times New Roman"/>
          <w:sz w:val="20"/>
          <w:szCs w:val="20"/>
          <w:color w:val="auto"/>
        </w:rPr>
        <w:t>In addition, our NOLs and NCLs may be limited by Sections 382 and 383 of the Code if we undergo an “ownership change.” Generally, an “ownership change” occurs if certain persons or groups increase their aggregate ownership in our company by more than 50 percentage points looking back over the relevant testing period. If an ownership change occurs, our ability to use our NOLs and NCLs to reduce our taxable income in a future year would be limited to a Section 382 limitation equal to the fair market value of our stock immediately prior to the ownership change multiplied by the long-term tax-exempt interest rate in effect for the month of the ownership change. In the event of an ownership change, NOLs and NCLs that exceed the Section 382 limitation in any year will continue to be allowed as carryforwards for the remainder of the carryforward period and such losses can be used to offset taxable income for years within the carryforward period subject to the Section 382 limitation in each year. However, if the carryforward period for any NOL or NCL were to expire before that loss had been fully utilized, the unused portion of that loss would be lost. The carryforward period for NOLs incurred through 2017 is 20 years from the year in which the losses giving rise to the NOLs were incurred, and the carryforward period for NCL is five years from the year in which the losses giving rise to the NCL were incurred. Our use of new NOLs or NCLs arising after the date of an ownership change would not be affected by the Section 382 limitation (unless there were another ownership change after those new losses arose).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780"/>
          </w:cols>
          <w:pgMar w:left="720" w:top="787" w:right="740" w:bottom="135" w:gutter="0" w:footer="0" w:header="0"/>
        </w:sectPr>
      </w:pPr>
    </w:p>
    <w:bookmarkStart w:id="29" w:name="page30"/>
    <w:bookmarkEnd w:id="29"/>
    <w:p>
      <w:pPr>
        <w:ind w:right="40" w:firstLine="360"/>
        <w:spacing w:after="0" w:line="243" w:lineRule="auto"/>
        <w:rPr>
          <w:sz w:val="20"/>
          <w:szCs w:val="20"/>
          <w:color w:val="auto"/>
        </w:rPr>
      </w:pPr>
      <w:r>
        <w:rPr>
          <w:rFonts w:ascii="Times New Roman" w:cs="Times New Roman" w:eastAsia="Times New Roman" w:hAnsi="Times New Roman"/>
          <w:sz w:val="20"/>
          <w:szCs w:val="20"/>
          <w:color w:val="auto"/>
        </w:rPr>
        <w:t>Based on our knowledge of our stock ownership, we do not believe that an ownership change has occurred since our losses were generated. Accordingly, we believe that at the current time there is no limitation imposed by the application of Section 382 on our use of NOLs or NCLs. However, for post-2017 losses, the Jobs and Tax Cuts Act of 2017 modified the general rule such that a net operating loss can only offset 80 percent of taxable income in the year it is utilized, so our post-2017 NOLs are limited by this tax law change. The rules for pre-2017 NOLs remain unchanged, and are 100% available to offset taxable income. In addition, post-2017 NOLs can now be carried forward indefinitely instead of being limited to 20 years for pre-2017 NOLs. The determination of whether an ownership change has occurred or will occur is complicated and depends on changes in percentage stock ownership among stockholders. We adopted the Rights Plan described above in order to discourage or prevent an ownership change. However, there can be no assurance that the Rights Plan will prevent an ownership change. In addition, we have not obtained, and currently do not plan to obtain, a ruling from the Internal Revenue Service, or IRS, regarding our conclusion as to whether our losses are subject to any such limitations. Furthermore, we may decide in the future that it is necessary or in our interest to take certain actions that could result in an ownership change. Therefore, no assurance can be provided as to whether an ownership change has occurred or will occur in the future.</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Preserving the ability to use our NOLs and NCLs may cause us to forgo otherwise attractive opportunities.</w:t>
      </w:r>
    </w:p>
    <w:p>
      <w:pPr>
        <w:spacing w:after="0" w:line="229" w:lineRule="exact"/>
        <w:rPr>
          <w:sz w:val="20"/>
          <w:szCs w:val="20"/>
          <w:color w:val="auto"/>
        </w:rPr>
      </w:pPr>
    </w:p>
    <w:p>
      <w:pPr>
        <w:ind w:right="140" w:firstLine="360"/>
        <w:spacing w:after="0" w:line="252" w:lineRule="auto"/>
        <w:rPr>
          <w:sz w:val="20"/>
          <w:szCs w:val="20"/>
          <w:color w:val="auto"/>
        </w:rPr>
      </w:pPr>
      <w:r>
        <w:rPr>
          <w:rFonts w:ascii="Times New Roman" w:cs="Times New Roman" w:eastAsia="Times New Roman" w:hAnsi="Times New Roman"/>
          <w:sz w:val="20"/>
          <w:szCs w:val="20"/>
          <w:color w:val="auto"/>
        </w:rPr>
        <w:t>Limitations imposed by Sections 382 and 383 of the Internal Revenue Code may discourage us from, among other things, redeeming our stock or issuing additional stock to raise capital or to acquire businesses or assets. Accordingly, our desire to preserve our NOLs and NCLs may cause us to forgo otherwise attractive opportunities, which could materially adversely impact our business, financial condition, and results of operations.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Changes in tax laws could adversely affect our future results.</w:t>
      </w:r>
    </w:p>
    <w:p>
      <w:pPr>
        <w:spacing w:after="0" w:line="228" w:lineRule="exact"/>
        <w:rPr>
          <w:sz w:val="20"/>
          <w:szCs w:val="20"/>
          <w:color w:val="auto"/>
        </w:rPr>
      </w:pPr>
    </w:p>
    <w:p>
      <w:pPr>
        <w:ind w:right="80" w:firstLine="360"/>
        <w:spacing w:after="0" w:line="249" w:lineRule="auto"/>
        <w:rPr>
          <w:sz w:val="20"/>
          <w:szCs w:val="20"/>
          <w:color w:val="auto"/>
        </w:rPr>
      </w:pPr>
      <w:r>
        <w:rPr>
          <w:rFonts w:ascii="Times New Roman" w:cs="Times New Roman" w:eastAsia="Times New Roman" w:hAnsi="Times New Roman"/>
          <w:sz w:val="20"/>
          <w:szCs w:val="20"/>
          <w:color w:val="auto"/>
        </w:rPr>
        <w:t>We have recorded a net deferred tax asset in the consolidated balance sheet based on the differences between the financial statement and income tax bases of assets using enacted tax rates. When U.S. corporate income tax rates change, we are required to reevaluate our deferred tax assets using the new tax rate. Changes in enacted tax rates require an adjustment to the carrying value of our deferred tax assets with a corresponding charge or benefit to earnings in the period of the tax rate change. Based on the size of our deferred tax assets, any such adjustment could be significant.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Risks Related to Conflicts of Interest in Our Relationship with Orchid</w:t>
      </w:r>
    </w:p>
    <w:p>
      <w:pPr>
        <w:spacing w:after="0" w:line="236" w:lineRule="exact"/>
        <w:rPr>
          <w:sz w:val="20"/>
          <w:szCs w:val="20"/>
          <w:color w:val="auto"/>
        </w:rPr>
      </w:pPr>
    </w:p>
    <w:p>
      <w:pPr>
        <w:ind w:left="360" w:right="160"/>
        <w:spacing w:after="0" w:line="276" w:lineRule="auto"/>
        <w:rPr>
          <w:sz w:val="20"/>
          <w:szCs w:val="20"/>
          <w:color w:val="auto"/>
        </w:rPr>
      </w:pPr>
      <w:r>
        <w:rPr>
          <w:rFonts w:ascii="Times New Roman" w:cs="Times New Roman" w:eastAsia="Times New Roman" w:hAnsi="Times New Roman"/>
          <w:sz w:val="20"/>
          <w:szCs w:val="20"/>
          <w:i w:val="1"/>
          <w:iCs w:val="1"/>
          <w:color w:val="auto"/>
        </w:rPr>
        <w:t>Royal Palm and Orchid may compete for opportunities to acquire assets, which are allocated in accordance with the Investment Allocation Agreement by and among Orchid and Bimini Advisors.</w:t>
      </w:r>
    </w:p>
    <w:p>
      <w:pPr>
        <w:spacing w:after="0" w:line="159" w:lineRule="exact"/>
        <w:rPr>
          <w:sz w:val="20"/>
          <w:szCs w:val="20"/>
          <w:color w:val="auto"/>
        </w:rPr>
      </w:pPr>
    </w:p>
    <w:p>
      <w:pPr>
        <w:ind w:right="240" w:firstLine="360"/>
        <w:spacing w:after="0" w:line="249" w:lineRule="auto"/>
        <w:rPr>
          <w:sz w:val="20"/>
          <w:szCs w:val="20"/>
          <w:color w:val="auto"/>
        </w:rPr>
      </w:pPr>
      <w:r>
        <w:rPr>
          <w:rFonts w:ascii="Times New Roman" w:cs="Times New Roman" w:eastAsia="Times New Roman" w:hAnsi="Times New Roman"/>
          <w:sz w:val="20"/>
          <w:szCs w:val="20"/>
          <w:color w:val="auto"/>
        </w:rPr>
        <w:t>From time to time we may seek to purchase for Royal Palm the same or similar assets that we seek to purchase for Orchid. In such an instance, we may allocate such opportunities in a manner that preferentially favors Orchid. We will make available to either Royal Palm or Orchid opportunities to acquire assets that we determine, in our reasonable and good faith judgment, based on the objectives, policies and strategies, and other relevant factors, are appropriate for either entity in accordance with the Investment Allocation Agreement among Bimini Capital, Orchid and Bimini Advisors.</w:t>
      </w:r>
    </w:p>
    <w:p>
      <w:pPr>
        <w:spacing w:after="0" w:line="187" w:lineRule="exact"/>
        <w:rPr>
          <w:sz w:val="20"/>
          <w:szCs w:val="20"/>
          <w:color w:val="auto"/>
        </w:rPr>
      </w:pPr>
    </w:p>
    <w:p>
      <w:pPr>
        <w:ind w:firstLine="360"/>
        <w:spacing w:after="0" w:line="245" w:lineRule="auto"/>
        <w:rPr>
          <w:sz w:val="20"/>
          <w:szCs w:val="20"/>
          <w:color w:val="auto"/>
        </w:rPr>
      </w:pPr>
      <w:r>
        <w:rPr>
          <w:rFonts w:ascii="Times New Roman" w:cs="Times New Roman" w:eastAsia="Times New Roman" w:hAnsi="Times New Roman"/>
          <w:sz w:val="20"/>
          <w:szCs w:val="20"/>
          <w:color w:val="auto"/>
        </w:rPr>
        <w:t>Because many of Royal Palm’s targeted assets are typically available only in specified quantities and because many of our targeted assets are also targeted assets for Orchid, we may not be able to buy as much of any given asset as required to satisfy the needs of both Royal Palm and Orchid. In these cases, the Investment Allocation Agreement will require the allocation of such assets to both accounts in proportion to their needs and available capital. The Investment Allocation Agreement will permit departure from such proportional allocation when (i) allocating purchases of whole-pool Agency MBS, because those securities cannot be divided into multiple parts to be allocated among various accounts, and (ii) such allocation would result in an inefficiently small amount of the security being purchased for an account. In that case, the Investment Allocation Agreement allows for a protocol of allocating assets so that, on an overall basis, each account is treated equitably.</w:t>
      </w:r>
    </w:p>
    <w:p>
      <w:pPr>
        <w:spacing w:after="0" w:line="194" w:lineRule="exact"/>
        <w:rPr>
          <w:sz w:val="20"/>
          <w:szCs w:val="20"/>
          <w:color w:val="auto"/>
        </w:rPr>
      </w:pPr>
    </w:p>
    <w:p>
      <w:pPr>
        <w:ind w:left="360" w:right="220"/>
        <w:spacing w:after="0" w:line="276" w:lineRule="auto"/>
        <w:rPr>
          <w:sz w:val="20"/>
          <w:szCs w:val="20"/>
          <w:color w:val="auto"/>
        </w:rPr>
      </w:pPr>
      <w:r>
        <w:rPr>
          <w:rFonts w:ascii="Times New Roman" w:cs="Times New Roman" w:eastAsia="Times New Roman" w:hAnsi="Times New Roman"/>
          <w:sz w:val="20"/>
          <w:szCs w:val="20"/>
          <w:i w:val="1"/>
          <w:iCs w:val="1"/>
          <w:color w:val="auto"/>
        </w:rPr>
        <w:t>There are conflicts of interest in our relationships with Orchid, which could result in decisions that may be considered as being not in the best interests of Bimini Capital</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 stockholders.</w:t>
      </w:r>
    </w:p>
    <w:p>
      <w:pPr>
        <w:spacing w:after="0" w:line="159" w:lineRule="exact"/>
        <w:rPr>
          <w:sz w:val="20"/>
          <w:szCs w:val="20"/>
          <w:color w:val="auto"/>
        </w:rPr>
      </w:pPr>
    </w:p>
    <w:p>
      <w:pPr>
        <w:ind w:right="240" w:firstLine="360"/>
        <w:spacing w:after="0" w:line="246" w:lineRule="auto"/>
        <w:rPr>
          <w:sz w:val="20"/>
          <w:szCs w:val="20"/>
          <w:color w:val="auto"/>
        </w:rPr>
      </w:pPr>
      <w:r>
        <w:rPr>
          <w:rFonts w:ascii="Times New Roman" w:cs="Times New Roman" w:eastAsia="Times New Roman" w:hAnsi="Times New Roman"/>
          <w:sz w:val="20"/>
          <w:szCs w:val="20"/>
          <w:color w:val="auto"/>
        </w:rPr>
        <w:t>Mr. Cauley, our Chief Executive Officer and Chairman of our Board of Directors, also serves as Chief Executive Officer and Chairman of the Board of Directors of Orchid. Mr. Haas, our Chief Financial Officer, Chief Investment Officer and President, is a member of the Board of Directors of Orchid, and serves as the Chief Financial Officer, Chief Investment Officer and Treasurer of Orchid. Messrs. Cauley and Haas, as well as Mr. Robert Dwyer, an independent member of our Board of Directors, own shares of common stock of Orchid at the time of this filing and may continue to own shares in the future. Accordingly, Messrs. Cauley, Haas, and Dwyer have a conflict of interest with respect to actions by Bimini Capital or Bimini Advisors that relate to Orchid as its Manager.</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800"/>
          </w:cols>
          <w:pgMar w:left="720" w:top="785" w:right="720" w:bottom="135" w:gutter="0" w:footer="0" w:header="0"/>
        </w:sectPr>
      </w:pPr>
    </w:p>
    <w:bookmarkStart w:id="30" w:name="page31"/>
    <w:bookmarkEnd w:id="30"/>
    <w:p>
      <w:pPr>
        <w:ind w:right="80" w:firstLine="360"/>
        <w:spacing w:after="0" w:line="278" w:lineRule="auto"/>
        <w:rPr>
          <w:sz w:val="20"/>
          <w:szCs w:val="20"/>
          <w:color w:val="auto"/>
        </w:rPr>
      </w:pPr>
      <w:r>
        <w:rPr>
          <w:rFonts w:ascii="Times New Roman" w:cs="Times New Roman" w:eastAsia="Times New Roman" w:hAnsi="Times New Roman"/>
          <w:sz w:val="20"/>
          <w:szCs w:val="20"/>
          <w:color w:val="auto"/>
        </w:rPr>
        <w:t>As such, we are subject to conflicts of interest arising out of Bimini Advisors’ role as Manager of Orchid and all of our executive officers have conflicts between their duties to Bimini Capital and their duties to Orchid as its Manager.</w:t>
      </w:r>
    </w:p>
    <w:p>
      <w:pPr>
        <w:spacing w:after="0" w:line="157" w:lineRule="exact"/>
        <w:rPr>
          <w:sz w:val="20"/>
          <w:szCs w:val="20"/>
          <w:color w:val="auto"/>
        </w:rPr>
      </w:pPr>
    </w:p>
    <w:p>
      <w:pPr>
        <w:jc w:val="both"/>
        <w:ind w:right="300" w:firstLine="360"/>
        <w:spacing w:after="0" w:line="252" w:lineRule="auto"/>
        <w:rPr>
          <w:sz w:val="20"/>
          <w:szCs w:val="20"/>
          <w:color w:val="auto"/>
        </w:rPr>
      </w:pPr>
      <w:r>
        <w:rPr>
          <w:rFonts w:ascii="Times New Roman" w:cs="Times New Roman" w:eastAsia="Times New Roman" w:hAnsi="Times New Roman"/>
          <w:sz w:val="20"/>
          <w:szCs w:val="20"/>
          <w:color w:val="auto"/>
        </w:rPr>
        <w:t>Bimini Capital may acquire or sell assets in which Orchid may have an interest. Similarly, Orchid may acquire or sell assets in which Bimini Capital has or may have an interest. Although such acquisitions or dispositions may present conflicts of interest, we nonetheless may pursue and consummate such transactions. Additionally, Bimini Capital may engage in transactions directly with Orchid, including the purchase and sale of all or a portion of a portfolio asset.</w:t>
      </w:r>
    </w:p>
    <w:p>
      <w:pPr>
        <w:spacing w:after="0" w:line="185" w:lineRule="exact"/>
        <w:rPr>
          <w:sz w:val="20"/>
          <w:szCs w:val="20"/>
          <w:color w:val="auto"/>
        </w:rPr>
      </w:pPr>
    </w:p>
    <w:p>
      <w:pPr>
        <w:ind w:right="40" w:firstLine="360"/>
        <w:spacing w:after="0" w:line="247" w:lineRule="auto"/>
        <w:rPr>
          <w:sz w:val="20"/>
          <w:szCs w:val="20"/>
          <w:color w:val="auto"/>
        </w:rPr>
      </w:pPr>
      <w:r>
        <w:rPr>
          <w:rFonts w:ascii="Times New Roman" w:cs="Times New Roman" w:eastAsia="Times New Roman" w:hAnsi="Times New Roman"/>
          <w:sz w:val="20"/>
          <w:szCs w:val="20"/>
          <w:color w:val="auto"/>
        </w:rPr>
        <w:t>Our officers devote as much time to Bimini Capital and to Orchid as they deem appropriate. However, these officers may have conflicts in allocating their time and services among Bimini Capital and Orchid. During turbulent conditions in the mortgage industry, distress in the credit markets or other times when we will need focused support and assistance from employees, Orchid and other entities for which we may act as manager in the future will likewise require greater focus and attention, placing personnel resources in high demand. In such situations, Bimini Capital may not receive the necessary support and assistance it requires or would otherwise receive if it were not acting as manager of one or more other entities.</w:t>
      </w:r>
    </w:p>
    <w:p>
      <w:pPr>
        <w:spacing w:after="0" w:line="189"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We continue to hold an investment in the common stock of Orchid. In evaluating opportunities for ourselves and Orchid, this may lead us to emphasize certain asset acquisition, disposition or management objectives over others, such as balancing risk or capital preservation objectives against return objectives. This could increase the risks or decrease the returns of your investment in our common stock.</w:t>
      </w:r>
    </w:p>
    <w:p>
      <w:pPr>
        <w:spacing w:after="0" w:line="18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b w:val="1"/>
          <w:bCs w:val="1"/>
          <w:color w:val="auto"/>
        </w:rPr>
        <w:t>Risks Related to Our Common Stock</w:t>
      </w:r>
    </w:p>
    <w:p>
      <w:pPr>
        <w:spacing w:after="0" w:line="2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Investing in our common stock may involve a high degree of risk.</w:t>
      </w:r>
    </w:p>
    <w:p>
      <w:pPr>
        <w:spacing w:after="0" w:line="228" w:lineRule="exact"/>
        <w:rPr>
          <w:sz w:val="20"/>
          <w:szCs w:val="20"/>
          <w:color w:val="auto"/>
        </w:rPr>
      </w:pPr>
    </w:p>
    <w:p>
      <w:pPr>
        <w:ind w:right="280" w:firstLine="360"/>
        <w:spacing w:after="0" w:line="258" w:lineRule="auto"/>
        <w:rPr>
          <w:sz w:val="20"/>
          <w:szCs w:val="20"/>
          <w:color w:val="auto"/>
        </w:rPr>
      </w:pPr>
      <w:r>
        <w:rPr>
          <w:rFonts w:ascii="Times New Roman" w:cs="Times New Roman" w:eastAsia="Times New Roman" w:hAnsi="Times New Roman"/>
          <w:sz w:val="20"/>
          <w:szCs w:val="20"/>
          <w:color w:val="auto"/>
        </w:rPr>
        <w:t>The investments we make in accordance with our investment objectives may result in a high amount of risk when compared to alternative investment options and volatility or loss of principal. Our investments may be highly speculative and aggressive, and therefore an investment in our common stock may not be suitable for someone with lower risk tolerance.</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There is a limited market for our Class A Common Stock.</w:t>
      </w:r>
    </w:p>
    <w:p>
      <w:pPr>
        <w:spacing w:after="0" w:line="228" w:lineRule="exact"/>
        <w:rPr>
          <w:sz w:val="20"/>
          <w:szCs w:val="20"/>
          <w:color w:val="auto"/>
        </w:rPr>
      </w:pPr>
    </w:p>
    <w:p>
      <w:pPr>
        <w:ind w:right="120" w:firstLine="360"/>
        <w:spacing w:after="0" w:line="247" w:lineRule="auto"/>
        <w:rPr>
          <w:sz w:val="20"/>
          <w:szCs w:val="20"/>
          <w:color w:val="auto"/>
        </w:rPr>
      </w:pPr>
      <w:r>
        <w:rPr>
          <w:rFonts w:ascii="Times New Roman" w:cs="Times New Roman" w:eastAsia="Times New Roman" w:hAnsi="Times New Roman"/>
          <w:sz w:val="20"/>
          <w:szCs w:val="20"/>
          <w:color w:val="auto"/>
        </w:rPr>
        <w:t>Our Class A Common Stock trades on the OTCQX under the symbol “BMNM”. We may apply to list our Class A Common Stock on a national securities market if, in the future, we qualify for such a listing. However, even if listed on a national securities market, the ability to buy and sell our Class A Common Stock may be limited due to our small public float, and significant sales may depress or result in a decline in the market price of our Class A Common Stock. Additionally, until such time that our Class A Common Stock is approved for listing on a national securities market, our ability to raise capital through the sale of additional securities may be limited. Accordingly, no assurance can be given as to:</w:t>
      </w:r>
    </w:p>
    <w:p>
      <w:pPr>
        <w:spacing w:after="0" w:line="193" w:lineRule="exact"/>
        <w:rPr>
          <w:sz w:val="20"/>
          <w:szCs w:val="20"/>
          <w:color w:val="auto"/>
        </w:rPr>
      </w:pPr>
    </w:p>
    <w:p>
      <w:pPr>
        <w:ind w:left="1080" w:hanging="350"/>
        <w:spacing w:after="0"/>
        <w:tabs>
          <w:tab w:leader="none" w:pos="10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likelihood that an actual market for our common stock will develop, or be continued once developed;</w:t>
      </w:r>
    </w:p>
    <w:p>
      <w:pPr>
        <w:spacing w:after="0" w:line="36" w:lineRule="exact"/>
        <w:rPr>
          <w:rFonts w:ascii="Times New Roman" w:cs="Times New Roman" w:eastAsia="Times New Roman" w:hAnsi="Times New Roman"/>
          <w:sz w:val="20"/>
          <w:szCs w:val="20"/>
          <w:color w:val="auto"/>
        </w:rPr>
      </w:pPr>
    </w:p>
    <w:p>
      <w:pPr>
        <w:ind w:left="1080" w:hanging="350"/>
        <w:spacing w:after="0"/>
        <w:tabs>
          <w:tab w:leader="none" w:pos="10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liquidity of any such market;</w:t>
      </w:r>
    </w:p>
    <w:p>
      <w:pPr>
        <w:spacing w:after="0" w:line="10" w:lineRule="exact"/>
        <w:rPr>
          <w:rFonts w:ascii="Times New Roman" w:cs="Times New Roman" w:eastAsia="Times New Roman" w:hAnsi="Times New Roman"/>
          <w:sz w:val="20"/>
          <w:szCs w:val="20"/>
          <w:color w:val="auto"/>
        </w:rPr>
      </w:pPr>
    </w:p>
    <w:p>
      <w:pPr>
        <w:ind w:left="1080" w:hanging="350"/>
        <w:spacing w:after="0"/>
        <w:tabs>
          <w:tab w:leader="none" w:pos="10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any holder to sell shares of our common stock; or</w:t>
      </w:r>
    </w:p>
    <w:p>
      <w:pPr>
        <w:spacing w:after="0" w:line="10" w:lineRule="exact"/>
        <w:rPr>
          <w:rFonts w:ascii="Times New Roman" w:cs="Times New Roman" w:eastAsia="Times New Roman" w:hAnsi="Times New Roman"/>
          <w:sz w:val="20"/>
          <w:szCs w:val="20"/>
          <w:color w:val="auto"/>
        </w:rPr>
      </w:pPr>
    </w:p>
    <w:p>
      <w:pPr>
        <w:ind w:left="1080" w:hanging="350"/>
        <w:spacing w:after="0"/>
        <w:tabs>
          <w:tab w:leader="none" w:pos="10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prices that may be obtained for our common stock.</w:t>
      </w:r>
    </w:p>
    <w:p>
      <w:pPr>
        <w:spacing w:after="0" w:line="210" w:lineRule="exact"/>
        <w:rPr>
          <w:sz w:val="20"/>
          <w:szCs w:val="20"/>
          <w:color w:val="auto"/>
        </w:rPr>
      </w:pPr>
    </w:p>
    <w:p>
      <w:pPr>
        <w:ind w:left="360" w:right="300"/>
        <w:spacing w:after="0" w:line="257" w:lineRule="auto"/>
        <w:rPr>
          <w:sz w:val="20"/>
          <w:szCs w:val="20"/>
          <w:color w:val="auto"/>
        </w:rPr>
      </w:pPr>
      <w:r>
        <w:rPr>
          <w:rFonts w:ascii="Times New Roman" w:cs="Times New Roman" w:eastAsia="Times New Roman" w:hAnsi="Times New Roman"/>
          <w:sz w:val="20"/>
          <w:szCs w:val="20"/>
          <w:i w:val="1"/>
          <w:iCs w:val="1"/>
          <w:color w:val="auto"/>
        </w:rPr>
        <w:t>Future offerings of debt securities, which would be senior to our common stock upon liquidation, or equity securities, which would dilute our existing stockholders and may be senior to our common stock for the purposes of distributions, may harm the value of our common stock.</w:t>
      </w:r>
    </w:p>
    <w:p>
      <w:pPr>
        <w:spacing w:after="0" w:line="180" w:lineRule="exact"/>
        <w:rPr>
          <w:sz w:val="20"/>
          <w:szCs w:val="20"/>
          <w:color w:val="auto"/>
        </w:rPr>
      </w:pPr>
    </w:p>
    <w:p>
      <w:pPr>
        <w:ind w:firstLine="360"/>
        <w:spacing w:after="0" w:line="243" w:lineRule="auto"/>
        <w:rPr>
          <w:sz w:val="20"/>
          <w:szCs w:val="20"/>
          <w:color w:val="auto"/>
        </w:rPr>
      </w:pPr>
      <w:r>
        <w:rPr>
          <w:rFonts w:ascii="Times New Roman" w:cs="Times New Roman" w:eastAsia="Times New Roman" w:hAnsi="Times New Roman"/>
          <w:sz w:val="20"/>
          <w:szCs w:val="20"/>
          <w:color w:val="auto"/>
        </w:rPr>
        <w:t>In the future, we may attempt to increase our capital resources by making additional offerings of debt or equity securities, including commercial paper, medium-term notes, senior or subordinated notes and classes of preferred stock or common stock, as well as warrants to purchase shares of common stock or convertible preferred stock. Upon the liquidation of the Company, holders of our debt securities and shares of preferred stock and lenders with respect to other borrowings will receive a distribution of our available assets prior to the holders of our common stock. Additional equity offerings by us may dilute the holdings of our existing stockholders or reduce the market value of our common stock, or both. Furthermore, our Board of Directors may, without stockholder approval, amend our charter to increase the aggregate number of shares or the number of shares of any class or series that we have the authority to issue, and to classify or reclassify any unissued shares of common stock or preferred stock. Because our decision to issue securities in any future offering will depend on market conditions and other factors beyond our control, we cannot predict or estimate the amount, timing or nature of our future securities offerings. Our stockholders are therefore subject to the risk of our future securities offerings reducing the market price of our common stock and diluting their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780"/>
          </w:cols>
          <w:pgMar w:left="720" w:top="785" w:right="740" w:bottom="135"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35" w:lineRule="exact"/>
        <w:rPr>
          <w:sz w:val="20"/>
          <w:szCs w:val="20"/>
          <w:color w:val="auto"/>
        </w:rPr>
      </w:pPr>
    </w:p>
    <w:p>
      <w:pPr>
        <w:ind w:left="140" w:right="100" w:firstLine="540"/>
        <w:spacing w:after="0" w:line="245" w:lineRule="auto"/>
        <w:rPr>
          <w:sz w:val="20"/>
          <w:szCs w:val="20"/>
          <w:color w:val="auto"/>
        </w:rPr>
      </w:pPr>
      <w:r>
        <w:rPr>
          <w:rFonts w:ascii="Times New Roman" w:cs="Times New Roman" w:eastAsia="Times New Roman" w:hAnsi="Times New Roman"/>
          <w:sz w:val="20"/>
          <w:szCs w:val="20"/>
          <w:color w:val="auto"/>
        </w:rPr>
        <w:t>The Board plays an active role in overseeing management of our risks, and cybersecurity represents an important component of the Company’s overall approach to risk management and oversight. Our cybersecurity processes and practices are integrated into the Company’s risk management and oversight program. In general, the Company seeks to address cybersecurity risks through a comprehensive, cross-functional approach that is focused on preserving the confidentiality, security and availability of the information that the Company collects and stores by identifying, preventing and mitigating cybersecurity threats and effectively responding to cybersecurity incidents when they occur. The Company has adopted a cybersecurity incident response plan to enable rapid response, curtail further security breaches, mitigate and manage costs, and facilitate timely disclosure of material cyber incidents as required by the SEC.</w:t>
      </w:r>
    </w:p>
    <w:p>
      <w:pPr>
        <w:spacing w:after="0" w:line="1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235" w:lineRule="exact"/>
        <w:rPr>
          <w:sz w:val="20"/>
          <w:szCs w:val="20"/>
          <w:color w:val="auto"/>
        </w:rPr>
      </w:pPr>
    </w:p>
    <w:p>
      <w:pPr>
        <w:ind w:left="140" w:right="20" w:firstLine="540"/>
        <w:spacing w:after="0" w:line="247" w:lineRule="auto"/>
        <w:rPr>
          <w:sz w:val="20"/>
          <w:szCs w:val="20"/>
          <w:color w:val="auto"/>
        </w:rPr>
      </w:pPr>
      <w:r>
        <w:rPr>
          <w:rFonts w:ascii="Times New Roman" w:cs="Times New Roman" w:eastAsia="Times New Roman" w:hAnsi="Times New Roman"/>
          <w:sz w:val="20"/>
          <w:szCs w:val="20"/>
          <w:color w:val="auto"/>
        </w:rPr>
        <w:t>The Company and our Board place a high priority on maintaining security over our financial information that can be accessed via the Internet and mitigating information security risks. The Company engages a third-party security firm to provide threat detection and reports, conduct annual testing of our systems, train our employees and generally advise on cybersecurity processes. At least annually, our information technology team makes a formal presentation to our Audit Committee and the Board to keep them apprised of the level of cybersecurity that exists to protect our financial information, training of the Company’s officers and employees, and the latest threats that have emerged, including a presentation from the third-party security firm.</w:t>
      </w:r>
    </w:p>
    <w:p>
      <w:pPr>
        <w:spacing w:after="0" w:line="1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The Company’s cybersecurity program is focused on the following key areas:</w:t>
      </w:r>
    </w:p>
    <w:p>
      <w:pPr>
        <w:spacing w:after="0" w:line="234" w:lineRule="exact"/>
        <w:rPr>
          <w:sz w:val="20"/>
          <w:szCs w:val="20"/>
          <w:color w:val="auto"/>
        </w:rPr>
      </w:pPr>
    </w:p>
    <w:p>
      <w:pPr>
        <w:ind w:left="600" w:right="160" w:hanging="209"/>
        <w:spacing w:after="0" w:line="258" w:lineRule="auto"/>
        <w:tabs>
          <w:tab w:leader="none" w:pos="6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Governance</w:t>
      </w:r>
      <w:r>
        <w:rPr>
          <w:rFonts w:ascii="Times New Roman" w:cs="Times New Roman" w:eastAsia="Times New Roman" w:hAnsi="Times New Roman"/>
          <w:sz w:val="20"/>
          <w:szCs w:val="20"/>
          <w:color w:val="auto"/>
        </w:rPr>
        <w:t>: As discussed in more detail under “Item 1C. Cybersecurity—Governance,” the Audit Committee and the Board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oversee cybersecurity risk management by regularly interacting with the Company’s management team, our information technology team and a third-party security firm.</w:t>
      </w:r>
    </w:p>
    <w:p>
      <w:pPr>
        <w:spacing w:after="0" w:line="188" w:lineRule="exact"/>
        <w:rPr>
          <w:rFonts w:ascii="Times New Roman" w:cs="Times New Roman" w:eastAsia="Times New Roman" w:hAnsi="Times New Roman"/>
          <w:sz w:val="20"/>
          <w:szCs w:val="20"/>
          <w:color w:val="auto"/>
        </w:rPr>
      </w:pPr>
    </w:p>
    <w:p>
      <w:pPr>
        <w:ind w:left="600" w:right="240" w:hanging="205"/>
        <w:spacing w:after="0" w:line="252" w:lineRule="auto"/>
        <w:tabs>
          <w:tab w:leader="none" w:pos="6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Collaborative Approach</w:t>
      </w:r>
      <w:r>
        <w:rPr>
          <w:rFonts w:ascii="Times New Roman" w:cs="Times New Roman" w:eastAsia="Times New Roman" w:hAnsi="Times New Roman"/>
          <w:sz w:val="20"/>
          <w:szCs w:val="20"/>
          <w:color w:val="auto"/>
        </w:rPr>
        <w:t>: The Company has implemented a comprehensive, cross-functional approach to identifying,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preventing and mitigating cybersecurity threats and incidents, while also implementing controls and procedures that provide for the prompt escalation of certain cybersecurity incidents so that decisions regarding the public disclosure and reporting of such incidents can be made by management in a timely manner.</w:t>
      </w:r>
    </w:p>
    <w:p>
      <w:pPr>
        <w:spacing w:after="0" w:line="193" w:lineRule="exact"/>
        <w:rPr>
          <w:rFonts w:ascii="Times New Roman" w:cs="Times New Roman" w:eastAsia="Times New Roman" w:hAnsi="Times New Roman"/>
          <w:sz w:val="20"/>
          <w:szCs w:val="20"/>
          <w:color w:val="auto"/>
        </w:rPr>
      </w:pPr>
    </w:p>
    <w:p>
      <w:pPr>
        <w:ind w:left="620" w:right="280" w:hanging="214"/>
        <w:spacing w:after="0" w:line="249" w:lineRule="auto"/>
        <w:tabs>
          <w:tab w:leader="none" w:pos="62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Technical Safeguards</w:t>
      </w:r>
      <w:r>
        <w:rPr>
          <w:rFonts w:ascii="Times New Roman" w:cs="Times New Roman" w:eastAsia="Times New Roman" w:hAnsi="Times New Roman"/>
          <w:sz w:val="20"/>
          <w:szCs w:val="20"/>
          <w:color w:val="auto"/>
        </w:rPr>
        <w:t>: The Company deploys technical safeguards that are designed to protect information systems from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cybersecurity threats, including firewalls, intrusion prevention and detection systems, redundant data storage and retention methods, anti-malware functionality and access controls, which are evaluated and improved through vulnerability and exposure assessments and cybersecurity threat intelligence. With the help of our third-party security firm, the Company has implemented several layers of physical security, digital security and data backup.</w:t>
      </w:r>
    </w:p>
    <w:p>
      <w:pPr>
        <w:spacing w:after="0" w:line="196" w:lineRule="exact"/>
        <w:rPr>
          <w:rFonts w:ascii="Times New Roman" w:cs="Times New Roman" w:eastAsia="Times New Roman" w:hAnsi="Times New Roman"/>
          <w:sz w:val="20"/>
          <w:szCs w:val="20"/>
          <w:color w:val="auto"/>
        </w:rPr>
      </w:pPr>
    </w:p>
    <w:p>
      <w:pPr>
        <w:ind w:left="600" w:right="360" w:hanging="198"/>
        <w:spacing w:after="0" w:line="305" w:lineRule="auto"/>
        <w:tabs>
          <w:tab w:leader="none" w:pos="600" w:val="left"/>
        </w:tabs>
        <w:numPr>
          <w:ilvl w:val="1"/>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Incident Response and Recovery Planning</w:t>
      </w:r>
      <w:r>
        <w:rPr>
          <w:rFonts w:ascii="Times New Roman" w:cs="Times New Roman" w:eastAsia="Times New Roman" w:hAnsi="Times New Roman"/>
          <w:sz w:val="19"/>
          <w:szCs w:val="19"/>
          <w:color w:val="auto"/>
        </w:rPr>
        <w:t>: The Company has established a comprehensive incident response and recovery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plan that addresses the response to a cybersecurity incident and plans to test and evaluate that plan on a regular basis.</w:t>
      </w:r>
    </w:p>
    <w:p>
      <w:pPr>
        <w:spacing w:after="0" w:line="145" w:lineRule="exact"/>
        <w:rPr>
          <w:rFonts w:ascii="Times New Roman" w:cs="Times New Roman" w:eastAsia="Times New Roman" w:hAnsi="Times New Roman"/>
          <w:sz w:val="19"/>
          <w:szCs w:val="19"/>
          <w:color w:val="auto"/>
        </w:rPr>
      </w:pPr>
    </w:p>
    <w:p>
      <w:pPr>
        <w:ind w:left="620" w:right="140" w:hanging="213"/>
        <w:spacing w:after="0" w:line="267" w:lineRule="auto"/>
        <w:tabs>
          <w:tab w:leader="none" w:pos="620" w:val="left"/>
        </w:tabs>
        <w:numPr>
          <w:ilvl w:val="1"/>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Third-Party Risk Management: </w:t>
      </w:r>
      <w:r>
        <w:rPr>
          <w:rFonts w:ascii="Times New Roman" w:cs="Times New Roman" w:eastAsia="Times New Roman" w:hAnsi="Times New Roman"/>
          <w:sz w:val="19"/>
          <w:szCs w:val="19"/>
          <w:color w:val="auto"/>
        </w:rPr>
        <w:t>The Company maintains a comprehensive, risk-based approach to identifying and overseeing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cybersecurity risks presented by third parties, including counterparties, service providers or other external users of</w:t>
      </w:r>
    </w:p>
    <w:p>
      <w:pPr>
        <w:spacing w:after="0" w:line="1" w:lineRule="exact"/>
        <w:rPr>
          <w:rFonts w:ascii="Times New Roman" w:cs="Times New Roman" w:eastAsia="Times New Roman" w:hAnsi="Times New Roman"/>
          <w:sz w:val="19"/>
          <w:szCs w:val="19"/>
          <w:color w:val="auto"/>
        </w:rPr>
      </w:pPr>
    </w:p>
    <w:p>
      <w:pPr>
        <w:ind w:left="620" w:right="540"/>
        <w:spacing w:after="0" w:line="24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our systems, as well as the systems of third parties that could adversely impact the Company’s business in the event of a cybersecurity incident affecting those third-party systems.</w:t>
      </w:r>
    </w:p>
    <w:p>
      <w:pPr>
        <w:spacing w:after="0" w:line="194" w:lineRule="exact"/>
        <w:rPr>
          <w:rFonts w:ascii="Times New Roman" w:cs="Times New Roman" w:eastAsia="Times New Roman" w:hAnsi="Times New Roman"/>
          <w:sz w:val="19"/>
          <w:szCs w:val="19"/>
          <w:color w:val="auto"/>
        </w:rPr>
      </w:pPr>
    </w:p>
    <w:p>
      <w:pPr>
        <w:ind w:left="620" w:hanging="213"/>
        <w:spacing w:after="0" w:line="247" w:lineRule="auto"/>
        <w:tabs>
          <w:tab w:leader="none" w:pos="62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Education and Awareness</w:t>
      </w:r>
      <w:r>
        <w:rPr>
          <w:rFonts w:ascii="Times New Roman" w:cs="Times New Roman" w:eastAsia="Times New Roman" w:hAnsi="Times New Roman"/>
          <w:sz w:val="20"/>
          <w:szCs w:val="20"/>
          <w:color w:val="auto"/>
        </w:rPr>
        <w:t>: A third-party security firm provides training to our employees, helping our information technology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team to maintain a state-of-the-art cybersecurity system and staying up to date on the latest threats and counter measures available. The third-party security firm places a high priority on employee threat education through automated internal phishing tests. Our information technology team attends continuing education seminars and receives timely alerts to any new viruses or cyber threats as they occur as a means to equip personnel with effective tools to address cybersecurity threats, and to communicate evolving information security policies, standards, processes and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780"/>
          </w:cols>
          <w:pgMar w:left="720" w:top="781" w:right="740" w:bottom="135" w:gutter="0" w:footer="0" w:header="0"/>
        </w:sectPr>
      </w:pPr>
    </w:p>
    <w:bookmarkStart w:id="32" w:name="page33"/>
    <w:bookmarkEnd w:id="32"/>
    <w:p>
      <w:pPr>
        <w:ind w:left="160" w:firstLine="540"/>
        <w:spacing w:after="0" w:line="244" w:lineRule="auto"/>
        <w:rPr>
          <w:sz w:val="20"/>
          <w:szCs w:val="20"/>
          <w:color w:val="auto"/>
        </w:rPr>
      </w:pPr>
      <w:r>
        <w:rPr>
          <w:rFonts w:ascii="Times New Roman" w:cs="Times New Roman" w:eastAsia="Times New Roman" w:hAnsi="Times New Roman"/>
          <w:sz w:val="20"/>
          <w:szCs w:val="20"/>
          <w:color w:val="auto"/>
        </w:rPr>
        <w:t>Cybersecurity threats, including as a result of any previous cybersecurity incidents, have not materially affected and are not reasonably likely to affect the Company, including its business strategy, results of operations or financial condition. The Company is not aware of any material security breach to date. Accordingly, the Company has not incurred any expenses over the last three years on information security breaches. However, the Company faces certain ongoing risks from cybersecurity that, if realized, could materially affect the Company. See “Item 1A. Risk Factors - The occurrence of cyber-incidents, or a deficiency in our cybersecurity or in those of any of our third party service providers could negatively impact our business by causing a disruption to our operations, a compromise or corruption of our confidential information or damage to our business relationships or reputation, all of which could negatively impact our business and results of operations.” There can be no assurance that the Company's cybersecurity risk management program and processes, including its policies, controls or procedures, will be fully implemented, complied with or effective in protecting its systems and information.</w:t>
      </w:r>
    </w:p>
    <w:p>
      <w:pPr>
        <w:spacing w:after="0" w:line="200" w:lineRule="exact"/>
        <w:rPr>
          <w:sz w:val="20"/>
          <w:szCs w:val="20"/>
          <w:color w:val="auto"/>
        </w:rPr>
      </w:pPr>
    </w:p>
    <w:p>
      <w:pPr>
        <w:spacing w:after="0" w:line="2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235" w:lineRule="exact"/>
        <w:rPr>
          <w:sz w:val="20"/>
          <w:szCs w:val="20"/>
          <w:color w:val="auto"/>
        </w:rPr>
      </w:pPr>
    </w:p>
    <w:p>
      <w:pPr>
        <w:ind w:left="140" w:firstLine="540"/>
        <w:spacing w:after="0" w:line="242" w:lineRule="auto"/>
        <w:rPr>
          <w:sz w:val="20"/>
          <w:szCs w:val="20"/>
          <w:color w:val="auto"/>
        </w:rPr>
      </w:pPr>
      <w:r>
        <w:rPr>
          <w:rFonts w:ascii="Times New Roman" w:cs="Times New Roman" w:eastAsia="Times New Roman" w:hAnsi="Times New Roman"/>
          <w:sz w:val="20"/>
          <w:szCs w:val="20"/>
          <w:color w:val="auto"/>
        </w:rPr>
        <w:t>The Company believes oversight of cybersecurity risk is the responsibility of the Audit Committee and the full Board. Accordingly, the Audit Committee and the Board oversee the Company’s cybersecurity risk management process. The Board considers the Company’s cybersecurity posture and risk exposure with management taking into consideration the Company’s operations and the types of data retained on its systems as part of its and the Audit Committee’s periodic review of the Company’s risk management. The Company’s primary business involves investments in Agency MBS, which are securities backed primarily by single-family residential mortgage loans. The Company does not receive personal information on individual mortgage borrowers. The Board reviews the Company’s cybersecurity program and risk exposure with management on at least an annual basis and receives periodic reports from management, the information technology team, and the Company’s third-party security firm on these matters from time to time. The Board may also conduct additional cybersecurity reviews or receive additional updates or reports as it deems necessary. Messrs. Cauley and Haas work collaboratively to implement a program designed to protect our information systems from cybersecurity threats and to promptly respond to any cybersecurity incidents in accordance with the Company’s incident response and recovery plan. These members of the Company’s management team monitor the prevention, detection, mitigation and remediation of cybersecurity threats and incidents and report such threats and incidents to the Board when appropriate. Messrs. Cauley and Haas each hold undergraduate and graduate degrees in their respective fields, and each have</w:t>
      </w:r>
    </w:p>
    <w:p>
      <w:pPr>
        <w:spacing w:after="0" w:line="2" w:lineRule="exact"/>
        <w:rPr>
          <w:sz w:val="20"/>
          <w:szCs w:val="20"/>
          <w:color w:val="auto"/>
        </w:rPr>
      </w:pPr>
    </w:p>
    <w:p>
      <w:pPr>
        <w:ind w:left="140" w:right="360"/>
        <w:spacing w:after="0" w:line="248" w:lineRule="auto"/>
        <w:rPr>
          <w:sz w:val="20"/>
          <w:szCs w:val="20"/>
          <w:color w:val="auto"/>
        </w:rPr>
      </w:pPr>
      <w:r>
        <w:rPr>
          <w:rFonts w:ascii="Times New Roman" w:cs="Times New Roman" w:eastAsia="Times New Roman" w:hAnsi="Times New Roman"/>
          <w:sz w:val="20"/>
          <w:szCs w:val="20"/>
          <w:color w:val="auto"/>
        </w:rPr>
        <w:t>over 20 years of experience managing risks at the Company and at similar companies, including risks arising from cybersecurity threats.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34"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20"/>
          <w:szCs w:val="20"/>
          <w:color w:val="auto"/>
        </w:rPr>
        <w:t>Our executive offices and principal administrative offices are located at 3305 Flamingo Drive, Vero Beach, Florida, 32963, in an office building which Bimini Capital owns. This facility is shared with our subsidiaries and Orchid. This property is suitable and adequate for our business as currently conducted.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In April 2020 and November 2021, the Company received demands for payment from Citigroup, Inc. in the total amount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$33.3 million related to the indemnification provisions of various mortgage loan purchase agreements entered into prior to the date</w:t>
      </w:r>
    </w:p>
    <w:p>
      <w:pPr>
        <w:spacing w:after="0"/>
        <w:rPr>
          <w:sz w:val="20"/>
          <w:szCs w:val="20"/>
          <w:color w:val="auto"/>
        </w:rPr>
      </w:pPr>
      <w:r>
        <w:rPr>
          <w:rFonts w:ascii="Times New Roman" w:cs="Times New Roman" w:eastAsia="Times New Roman" w:hAnsi="Times New Roman"/>
          <w:sz w:val="20"/>
          <w:szCs w:val="20"/>
          <w:color w:val="auto"/>
        </w:rPr>
        <w:t>Royal Palm’s mortgage origination operations ceased in 2007. The Company believes the demands are without merit and intends to</w:t>
      </w:r>
    </w:p>
    <w:p>
      <w:pPr>
        <w:spacing w:after="0"/>
        <w:rPr>
          <w:sz w:val="20"/>
          <w:szCs w:val="20"/>
          <w:color w:val="auto"/>
        </w:rPr>
      </w:pPr>
      <w:r>
        <w:rPr>
          <w:rFonts w:ascii="Times New Roman" w:cs="Times New Roman" w:eastAsia="Times New Roman" w:hAnsi="Times New Roman"/>
          <w:sz w:val="20"/>
          <w:szCs w:val="20"/>
          <w:color w:val="auto"/>
        </w:rPr>
        <w:t>defend against the demands vigorously if pursued by Citigroup. No provision or accrual has been recorded related to the Citigroup</w:t>
      </w:r>
    </w:p>
    <w:p>
      <w:pPr>
        <w:spacing w:after="0"/>
        <w:rPr>
          <w:sz w:val="20"/>
          <w:szCs w:val="20"/>
          <w:color w:val="auto"/>
        </w:rPr>
      </w:pPr>
      <w:r>
        <w:rPr>
          <w:rFonts w:ascii="Times New Roman" w:cs="Times New Roman" w:eastAsia="Times New Roman" w:hAnsi="Times New Roman"/>
          <w:sz w:val="20"/>
          <w:szCs w:val="20"/>
          <w:color w:val="auto"/>
        </w:rPr>
        <w:t>demands.</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are not party to any other material pending legal proceedings as described in Item 103 of Regulation S-K.</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780"/>
          </w:cols>
          <w:pgMar w:left="720" w:top="785" w:right="740" w:bottom="135" w:gutter="0" w:footer="0" w:header="0"/>
        </w:sectPr>
      </w:pPr>
    </w:p>
    <w:bookmarkStart w:id="33" w:name="page34"/>
    <w:bookmarkEnd w:id="33"/>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0" w:lineRule="exact"/>
        <w:rPr>
          <w:sz w:val="20"/>
          <w:szCs w:val="20"/>
          <w:color w:val="auto"/>
        </w:rPr>
      </w:pPr>
    </w:p>
    <w:p>
      <w:pPr>
        <w:ind w:left="640" w:right="180" w:hanging="639"/>
        <w:spacing w:after="0" w:line="287"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34"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20"/>
          <w:szCs w:val="20"/>
          <w:color w:val="auto"/>
        </w:rPr>
        <w:t>Our Class A Common Stock is traded over-the-counter under the symbol “BMNM”. As of March 12, 2026, we had</w:t>
      </w:r>
    </w:p>
    <w:p>
      <w:pPr>
        <w:spacing w:after="0" w:line="28" w:lineRule="exact"/>
        <w:rPr>
          <w:sz w:val="20"/>
          <w:szCs w:val="20"/>
          <w:color w:val="auto"/>
        </w:rPr>
      </w:pPr>
    </w:p>
    <w:p>
      <w:pPr>
        <w:ind w:right="760"/>
        <w:spacing w:after="0" w:line="249" w:lineRule="auto"/>
        <w:rPr>
          <w:sz w:val="20"/>
          <w:szCs w:val="20"/>
          <w:color w:val="auto"/>
        </w:rPr>
      </w:pPr>
      <w:r>
        <w:rPr>
          <w:rFonts w:ascii="Times New Roman" w:cs="Times New Roman" w:eastAsia="Times New Roman" w:hAnsi="Times New Roman"/>
          <w:sz w:val="20"/>
          <w:szCs w:val="20"/>
          <w:color w:val="auto"/>
        </w:rPr>
        <w:t>10,005,457 shares of Class A Common Stock issued and outstanding, which were held by 93 stockholders of record and 685 beneficial owners whose shares were held in “street name” by brokers and depository institutions.</w:t>
      </w:r>
    </w:p>
    <w:p>
      <w:pPr>
        <w:spacing w:after="0" w:line="185" w:lineRule="exact"/>
        <w:rPr>
          <w:sz w:val="20"/>
          <w:szCs w:val="20"/>
          <w:color w:val="auto"/>
        </w:rPr>
      </w:pPr>
    </w:p>
    <w:p>
      <w:pPr>
        <w:ind w:right="160" w:firstLine="360"/>
        <w:spacing w:after="0" w:line="258" w:lineRule="auto"/>
        <w:rPr>
          <w:sz w:val="20"/>
          <w:szCs w:val="20"/>
          <w:color w:val="auto"/>
        </w:rPr>
      </w:pPr>
      <w:r>
        <w:rPr>
          <w:rFonts w:ascii="Times New Roman" w:cs="Times New Roman" w:eastAsia="Times New Roman" w:hAnsi="Times New Roman"/>
          <w:sz w:val="20"/>
          <w:szCs w:val="20"/>
          <w:color w:val="auto"/>
        </w:rPr>
        <w:t>As of March 12, 2026, we had 31,938 shares of Class B Common Stock outstanding, which were held by two holders of record and 31,938 shares of Class C Common Stock outstanding, which were held by one holder of record. There is no established public trading market for our Class B Common Stock or Class C Common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Distribution Policy</w:t>
      </w: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have not made a distribution to stockholders since 2011. We do not expect to make distributions for the foreseeable future.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Preferred Stock</w:t>
      </w:r>
    </w:p>
    <w:p>
      <w:pPr>
        <w:spacing w:after="0" w:line="235"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20"/>
          <w:szCs w:val="20"/>
          <w:color w:val="auto"/>
        </w:rPr>
        <w:t>Our charter authorizes us to issue preferred stock that could have a preference over our common stock with respect to distributions. If we were to issue any preferred stock, the distribution preference on the preferred stock could limit our ability to make distributions to the holders of our common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Unregistered Sales of Equity Securities</w:t>
      </w: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On March 12, 2026, the Board authorized a share repurchase plan pursuant to Rule 10b5-1 of the Securities Exchange Act of</w:t>
      </w:r>
    </w:p>
    <w:p>
      <w:pPr>
        <w:spacing w:after="0" w:line="2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1934 (the “2026 Repurchase Plan”). Pursuant to the 2026 Repurchase Plan, the Company can purchase shares of its Class A Common Stock from time to time for an aggregate purchase price not to exceed $2.5 million. Share repurchases can be executed through various means, including, without limitation, open market transactions. The 2026 Repurchase Plan does not obligate the Company to purchase any shares. The 2026 Repurchase Plan replaces the Company's prior repurchase plan adopted in 2024, which expired on March 9, 2026.</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did not repurchase shares of its common stock during the three months ended December 31,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720"/>
          </w:cols>
          <w:pgMar w:left="720" w:top="1288" w:right="800" w:bottom="135" w:gutter="0" w:footer="0" w:header="0"/>
        </w:sectPr>
      </w:pPr>
    </w:p>
    <w:bookmarkStart w:id="34" w:name="page35"/>
    <w:bookmarkEnd w:id="34"/>
    <w:p>
      <w:pPr>
        <w:ind w:right="1000"/>
        <w:spacing w:after="0" w:line="287" w:lineRule="auto"/>
        <w:rPr>
          <w:sz w:val="20"/>
          <w:szCs w:val="20"/>
          <w:color w:val="auto"/>
        </w:rPr>
      </w:pPr>
      <w:r>
        <w:rPr>
          <w:rFonts w:ascii="Times New Roman" w:cs="Times New Roman" w:eastAsia="Times New Roman" w:hAnsi="Times New Roman"/>
          <w:sz w:val="20"/>
          <w:szCs w:val="20"/>
          <w:b w:val="1"/>
          <w:bCs w:val="1"/>
          <w:color w:val="auto"/>
        </w:rPr>
        <w:t>ITEM 7. 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 OF FINANCIAL CONDITION AND RESULTS OF OPERATIONS.</w:t>
      </w:r>
    </w:p>
    <w:p>
      <w:pPr>
        <w:spacing w:after="0" w:line="144" w:lineRule="exact"/>
        <w:rPr>
          <w:sz w:val="20"/>
          <w:szCs w:val="20"/>
          <w:color w:val="auto"/>
        </w:rPr>
      </w:pPr>
    </w:p>
    <w:p>
      <w:pPr>
        <w:ind w:right="20" w:firstLine="360"/>
        <w:spacing w:after="0" w:line="249" w:lineRule="auto"/>
        <w:rPr>
          <w:sz w:val="20"/>
          <w:szCs w:val="20"/>
          <w:color w:val="auto"/>
        </w:rPr>
      </w:pPr>
      <w:r>
        <w:rPr>
          <w:rFonts w:ascii="Times New Roman" w:cs="Times New Roman" w:eastAsia="Times New Roman" w:hAnsi="Times New Roman"/>
          <w:sz w:val="20"/>
          <w:szCs w:val="20"/>
          <w:color w:val="auto"/>
        </w:rPr>
        <w:t>The following discussion of our consolidated financial condition, cash flows and results of operations should be read in conjunction with the consolidated financial statements and notes to those statements included in Item 8 of this Form 10-K. The discussion may contain certain forward-looking statements that involve risks and uncertainties. As a result of many factors, such as those set forth under “Risk Factors” in this Form 10-K, our actual results may differ materially from those anticipated in such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Factors that Affect our Results of Operations and Financial Condition</w:t>
      </w: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 variety of industry and economic factors may impact our results of operations and financial condition. These factors include:</w:t>
      </w:r>
    </w:p>
    <w:p>
      <w:pPr>
        <w:spacing w:after="0" w:line="235" w:lineRule="exact"/>
        <w:rPr>
          <w:sz w:val="20"/>
          <w:szCs w:val="20"/>
          <w:color w:val="auto"/>
        </w:rPr>
      </w:pPr>
    </w:p>
    <w:p>
      <w:pPr>
        <w:ind w:left="720" w:hanging="35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rate trends;</w:t>
      </w:r>
    </w:p>
    <w:p>
      <w:pPr>
        <w:spacing w:after="0" w:line="36"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cost of borrowed funds, including changes in the Federal Funds rate that are controlled by the Fed;</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difference between Agency MBS yields and our funding and hedging costs;</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competition for, and supply of, investments in Agency MBS;</w:t>
      </w:r>
    </w:p>
    <w:p>
      <w:pPr>
        <w:spacing w:after="0" w:line="10" w:lineRule="exact"/>
        <w:rPr>
          <w:rFonts w:ascii="Times New Roman" w:cs="Times New Roman" w:eastAsia="Times New Roman" w:hAnsi="Times New Roman"/>
          <w:sz w:val="20"/>
          <w:szCs w:val="20"/>
          <w:color w:val="auto"/>
        </w:rPr>
      </w:pPr>
    </w:p>
    <w:p>
      <w:pPr>
        <w:ind w:left="720" w:right="120" w:hanging="350"/>
        <w:spacing w:after="0" w:line="245"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actions taken by the U.S. government, including the presidential administration, the Fed, the FOMC, the FHFA and the U.S. Treasury;</w:t>
      </w:r>
    </w:p>
    <w:p>
      <w:pPr>
        <w:ind w:left="720" w:hanging="35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prepayment rates on mortgages underlying our Agency MBS, and credit trends insofar as they affect prepayment rates;</w:t>
      </w:r>
    </w:p>
    <w:p>
      <w:pPr>
        <w:spacing w:after="0" w:line="8"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geopolitical events that affect the U.S. and international economies; and</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financial market developments.</w:t>
      </w:r>
    </w:p>
    <w:p>
      <w:pPr>
        <w:spacing w:after="0" w:line="209" w:lineRule="exact"/>
        <w:rPr>
          <w:sz w:val="20"/>
          <w:szCs w:val="20"/>
          <w:color w:val="auto"/>
        </w:rPr>
      </w:pPr>
    </w:p>
    <w:p>
      <w:pPr>
        <w:ind w:right="220" w:firstLine="360"/>
        <w:spacing w:after="0" w:line="278" w:lineRule="auto"/>
        <w:rPr>
          <w:sz w:val="20"/>
          <w:szCs w:val="20"/>
          <w:color w:val="auto"/>
        </w:rPr>
      </w:pPr>
      <w:r>
        <w:rPr>
          <w:rFonts w:ascii="Times New Roman" w:cs="Times New Roman" w:eastAsia="Times New Roman" w:hAnsi="Times New Roman"/>
          <w:sz w:val="20"/>
          <w:szCs w:val="20"/>
          <w:color w:val="auto"/>
        </w:rPr>
        <w:t>In addition, a variety of factors relating to our business may also impact our results of operations and financial condition. These factors include:</w:t>
      </w:r>
    </w:p>
    <w:p>
      <w:pPr>
        <w:spacing w:after="0" w:line="162" w:lineRule="exact"/>
        <w:rPr>
          <w:sz w:val="20"/>
          <w:szCs w:val="20"/>
          <w:color w:val="auto"/>
        </w:rPr>
      </w:pPr>
    </w:p>
    <w:p>
      <w:pPr>
        <w:ind w:left="720" w:hanging="35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use of leverage to finance our assets;</w:t>
      </w:r>
    </w:p>
    <w:p>
      <w:pPr>
        <w:spacing w:after="0" w:line="36"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access to funding and borrowing capacity;</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borrowing costs;</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hedging activities;</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 value of our investments;</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requirements for us to maintain a registration exemption under the Investment Company Act;</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use net operating loss carryforwards and other tax attributes to reduce our taxable income;</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possible future changes in tax laws or tax rates;</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manage the portfolio of Orchid and maintain our role as manager;</w:t>
      </w:r>
    </w:p>
    <w:p>
      <w:pPr>
        <w:spacing w:after="0" w:line="10" w:lineRule="exact"/>
        <w:rPr>
          <w:rFonts w:ascii="Times New Roman" w:cs="Times New Roman" w:eastAsia="Times New Roman" w:hAnsi="Times New Roman"/>
          <w:sz w:val="20"/>
          <w:szCs w:val="20"/>
          <w:color w:val="auto"/>
        </w:rPr>
      </w:pPr>
    </w:p>
    <w:p>
      <w:pPr>
        <w:ind w:left="720" w:hanging="350"/>
        <w:spacing w:after="0" w:line="245"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financial performance of Orchid and resulting changes in Orchid's stockholders' equity and our advisory services revenue; and</w:t>
      </w:r>
    </w:p>
    <w:p>
      <w:pPr>
        <w:ind w:left="720" w:hanging="35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carrying value of our investment in Orchid's common stock and dividend income received on that investment.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34" w:lineRule="exact"/>
        <w:rPr>
          <w:sz w:val="20"/>
          <w:szCs w:val="20"/>
          <w:color w:val="auto"/>
        </w:rPr>
      </w:pPr>
    </w:p>
    <w:p>
      <w:pPr>
        <w:ind w:right="560"/>
        <w:spacing w:after="0" w:line="278" w:lineRule="auto"/>
        <w:rPr>
          <w:sz w:val="20"/>
          <w:szCs w:val="20"/>
          <w:color w:val="auto"/>
        </w:rPr>
      </w:pPr>
      <w:r>
        <w:rPr>
          <w:rFonts w:ascii="Times New Roman" w:cs="Times New Roman" w:eastAsia="Times New Roman" w:hAnsi="Times New Roman"/>
          <w:sz w:val="20"/>
          <w:szCs w:val="20"/>
          <w:color w:val="auto"/>
        </w:rPr>
        <w:t>Described below are the Company’s results of operations for the year ended December 31, 2025, as compared to the year ended December 31,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Income (Loss) Summary</w:t>
      </w:r>
    </w:p>
    <w:p>
      <w:pPr>
        <w:spacing w:after="0" w:line="235" w:lineRule="exact"/>
        <w:rPr>
          <w:sz w:val="20"/>
          <w:szCs w:val="20"/>
          <w:color w:val="auto"/>
        </w:rPr>
      </w:pPr>
    </w:p>
    <w:p>
      <w:pPr>
        <w:ind w:right="140" w:firstLine="360"/>
        <w:spacing w:after="0" w:line="258" w:lineRule="auto"/>
        <w:rPr>
          <w:sz w:val="20"/>
          <w:szCs w:val="20"/>
          <w:color w:val="auto"/>
        </w:rPr>
      </w:pPr>
      <w:r>
        <w:rPr>
          <w:rFonts w:ascii="Times New Roman" w:cs="Times New Roman" w:eastAsia="Times New Roman" w:hAnsi="Times New Roman"/>
          <w:sz w:val="20"/>
          <w:szCs w:val="20"/>
          <w:color w:val="auto"/>
        </w:rPr>
        <w:t>Consolidated net income for the year ended December 31, 2025 was $5.8 million, or $0.58 basic and diluted income per share of Class A Common Stock, as compared to consolidated net loss of $1.3 million, or $0.13 basic and diluted loss per share of Class A Common Stock,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800"/>
          </w:cols>
          <w:pgMar w:left="720" w:top="781" w:right="720" w:bottom="135" w:gutter="0" w:footer="0" w:header="0"/>
        </w:sectPr>
      </w:pPr>
    </w:p>
    <w:bookmarkStart w:id="35" w:name="page36"/>
    <w:bookmarkEnd w:id="35"/>
    <w:p>
      <w:pPr>
        <w:ind w:right="860" w:firstLine="360"/>
        <w:spacing w:after="0" w:line="278" w:lineRule="auto"/>
        <w:rPr>
          <w:sz w:val="20"/>
          <w:szCs w:val="20"/>
          <w:color w:val="auto"/>
        </w:rPr>
      </w:pPr>
      <w:r>
        <w:rPr>
          <w:rFonts w:ascii="Times New Roman" w:cs="Times New Roman" w:eastAsia="Times New Roman" w:hAnsi="Times New Roman"/>
          <w:sz w:val="20"/>
          <w:szCs w:val="20"/>
          <w:color w:val="auto"/>
        </w:rPr>
        <w:t>The components of net income (loss) for the years ended December 31, 2025 and 2024, along with the changes in those components are presented in the table below:</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23495</wp:posOffset>
                </wp:positionV>
                <wp:extent cx="68580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85pt" to="540.2pt,1.85pt" o:allowincell="f" strokecolor="#FFFFFF" strokeweight="0.1399pt"/>
            </w:pict>
          </mc:Fallback>
        </mc:AlternateConten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87"/>
        </w:trPr>
        <w:tc>
          <w:tcPr>
            <w:tcW w:w="5940" w:type="dxa"/>
            <w:vAlign w:val="bottom"/>
            <w:tcBorders>
              <w:top w:val="single" w:sz="8" w:color="DDDDDD"/>
            </w:tcBorders>
            <w:shd w:val="clear" w:color="auto" w:fill="DDDDDD"/>
          </w:tcPr>
          <w:p>
            <w:pPr>
              <w:spacing w:after="0" w:line="187" w:lineRule="exact"/>
              <w:rPr>
                <w:sz w:val="20"/>
                <w:szCs w:val="20"/>
                <w:color w:val="auto"/>
              </w:rPr>
            </w:pPr>
            <w:r>
              <w:rPr>
                <w:rFonts w:ascii="Times New Roman" w:cs="Times New Roman" w:eastAsia="Times New Roman" w:hAnsi="Times New Roman"/>
                <w:sz w:val="18"/>
                <w:szCs w:val="18"/>
                <w:color w:val="auto"/>
              </w:rPr>
              <w:t>Advisory services revenue</w:t>
            </w:r>
          </w:p>
        </w:tc>
        <w:tc>
          <w:tcPr>
            <w:tcW w:w="1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16,575</w:t>
            </w:r>
          </w:p>
        </w:tc>
        <w:tc>
          <w:tcPr>
            <w:tcW w:w="2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12,784</w:t>
            </w:r>
          </w:p>
        </w:tc>
        <w:tc>
          <w:tcPr>
            <w:tcW w:w="100" w:type="dxa"/>
            <w:vAlign w:val="bottom"/>
            <w:tcBorders>
              <w:top w:val="single" w:sz="8" w:color="DDDDDD"/>
            </w:tcBorders>
            <w:shd w:val="clear" w:color="auto" w:fill="DDDDDD"/>
          </w:tcPr>
          <w:p>
            <w:pPr>
              <w:spacing w:after="0"/>
              <w:rPr>
                <w:sz w:val="16"/>
                <w:szCs w:val="16"/>
                <w:color w:val="auto"/>
              </w:rPr>
            </w:pPr>
          </w:p>
        </w:tc>
        <w:tc>
          <w:tcPr>
            <w:tcW w:w="1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3,791</w:t>
            </w:r>
          </w:p>
        </w:tc>
        <w:tc>
          <w:tcPr>
            <w:tcW w:w="100" w:type="dxa"/>
            <w:vAlign w:val="bottom"/>
            <w:tcBorders>
              <w:top w:val="single" w:sz="8" w:color="DDDDDD"/>
            </w:tcBorders>
            <w:shd w:val="clear" w:color="auto" w:fill="DDDDDD"/>
          </w:tcPr>
          <w:p>
            <w:pPr>
              <w:spacing w:after="0"/>
              <w:rPr>
                <w:sz w:val="16"/>
                <w:szCs w:val="16"/>
                <w:color w:val="auto"/>
              </w:rPr>
            </w:pPr>
          </w:p>
        </w:tc>
        <w:tc>
          <w:tcPr>
            <w:tcW w:w="20" w:type="dxa"/>
            <w:vAlign w:val="bottom"/>
            <w:tcBorders>
              <w:top w:val="single" w:sz="8" w:color="auto"/>
            </w:tcBorders>
            <w:shd w:val="clear" w:color="auto" w:fill="DDDDDD"/>
          </w:tcPr>
          <w:p>
            <w:pPr>
              <w:spacing w:after="0"/>
              <w:rPr>
                <w:sz w:val="16"/>
                <w:szCs w:val="16"/>
                <w:color w:val="auto"/>
              </w:rPr>
            </w:pPr>
          </w:p>
        </w:tc>
      </w:tr>
      <w:tr>
        <w:trPr>
          <w:trHeight w:val="21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594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220" w:type="dxa"/>
            <w:vAlign w:val="bottom"/>
            <w:tcBorders>
              <w:bottom w:val="single" w:sz="8" w:color="auto"/>
            </w:tcBorders>
            <w:shd w:val="clear" w:color="auto" w:fill="DDDDDD"/>
          </w:tcPr>
          <w:p>
            <w:pPr>
              <w:jc w:val="right"/>
              <w:ind w:right="80"/>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0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(7,541</w:t>
            </w: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Borders>
              <w:bottom w:val="single" w:sz="8" w:color="auto"/>
            </w:tcBorders>
            <w:shd w:val="clear" w:color="auto" w:fill="DDDDDD"/>
          </w:tcPr>
          <w:p>
            <w:pPr>
              <w:spacing w:after="0"/>
              <w:rPr>
                <w:sz w:val="18"/>
                <w:szCs w:val="18"/>
                <w:color w:val="auto"/>
              </w:rPr>
            </w:pPr>
          </w:p>
        </w:tc>
        <w:tc>
          <w:tcPr>
            <w:tcW w:w="20" w:type="dxa"/>
            <w:vAlign w:val="bottom"/>
            <w:tcBorders>
              <w:bottom w:val="single" w:sz="8" w:color="auto"/>
            </w:tcBorders>
            <w:shd w:val="clear" w:color="auto" w:fill="DDDDDD"/>
          </w:tcPr>
          <w:p>
            <w:pPr>
              <w:spacing w:after="0"/>
              <w:rPr>
                <w:sz w:val="18"/>
                <w:szCs w:val="18"/>
                <w:color w:val="auto"/>
              </w:rPr>
            </w:pPr>
          </w:p>
        </w:tc>
      </w:tr>
      <w:tr>
        <w:trPr>
          <w:trHeight w:val="211"/>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0" w:type="dxa"/>
            <w:vAlign w:val="bottom"/>
            <w:shd w:val="clear" w:color="auto" w:fill="DDDDDD"/>
          </w:tcPr>
          <w:p>
            <w:pPr>
              <w:spacing w:after="0"/>
              <w:rPr>
                <w:sz w:val="18"/>
                <w:szCs w:val="18"/>
                <w:color w:val="auto"/>
              </w:rPr>
            </w:pPr>
          </w:p>
        </w:tc>
      </w:tr>
      <w:tr>
        <w:trPr>
          <w:trHeight w:val="245"/>
        </w:trPr>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(12,604 )</w:t>
            </w: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(11,257 )</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(1,347 )</w:t>
            </w:r>
          </w:p>
        </w:tc>
        <w:tc>
          <w:tcPr>
            <w:tcW w:w="20" w:type="dxa"/>
            <w:vAlign w:val="bottom"/>
            <w:tcBorders>
              <w:bottom w:val="single" w:sz="8" w:color="auto"/>
            </w:tcBorders>
          </w:tcPr>
          <w:p>
            <w:pPr>
              <w:spacing w:after="0"/>
              <w:rPr>
                <w:sz w:val="20"/>
                <w:szCs w:val="20"/>
                <w:color w:val="auto"/>
              </w:rPr>
            </w:pPr>
          </w:p>
        </w:tc>
      </w:tr>
      <w:tr>
        <w:trPr>
          <w:trHeight w:val="187"/>
        </w:trPr>
        <w:tc>
          <w:tcPr>
            <w:tcW w:w="5940" w:type="dxa"/>
            <w:vAlign w:val="bottom"/>
            <w:tcBorders>
              <w:top w:val="single" w:sz="8" w:color="DDDDDD"/>
            </w:tcBorders>
            <w:shd w:val="clear" w:color="auto" w:fill="DDDDDD"/>
          </w:tcPr>
          <w:p>
            <w:pPr>
              <w:spacing w:after="0" w:line="187" w:lineRule="exact"/>
              <w:rPr>
                <w:sz w:val="20"/>
                <w:szCs w:val="20"/>
                <w:color w:val="auto"/>
              </w:rPr>
            </w:pPr>
            <w:r>
              <w:rPr>
                <w:rFonts w:ascii="Times New Roman" w:cs="Times New Roman" w:eastAsia="Times New Roman" w:hAnsi="Times New Roman"/>
                <w:sz w:val="18"/>
                <w:szCs w:val="18"/>
                <w:color w:val="auto"/>
              </w:rPr>
              <w:t>Net income before income tax (benefit) provision</w:t>
            </w:r>
          </w:p>
        </w:tc>
        <w:tc>
          <w:tcPr>
            <w:tcW w:w="1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13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4,492</w:t>
            </w:r>
          </w:p>
        </w:tc>
        <w:tc>
          <w:tcPr>
            <w:tcW w:w="2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13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1,811</w:t>
            </w:r>
          </w:p>
        </w:tc>
        <w:tc>
          <w:tcPr>
            <w:tcW w:w="100" w:type="dxa"/>
            <w:vAlign w:val="bottom"/>
            <w:tcBorders>
              <w:top w:val="single" w:sz="8" w:color="DDDDDD"/>
            </w:tcBorders>
            <w:shd w:val="clear" w:color="auto" w:fill="DDDDDD"/>
          </w:tcPr>
          <w:p>
            <w:pPr>
              <w:spacing w:after="0"/>
              <w:rPr>
                <w:sz w:val="16"/>
                <w:szCs w:val="16"/>
                <w:color w:val="auto"/>
              </w:rPr>
            </w:pPr>
          </w:p>
        </w:tc>
        <w:tc>
          <w:tcPr>
            <w:tcW w:w="1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13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2,681</w:t>
            </w:r>
          </w:p>
        </w:tc>
        <w:tc>
          <w:tcPr>
            <w:tcW w:w="100" w:type="dxa"/>
            <w:vAlign w:val="bottom"/>
            <w:tcBorders>
              <w:top w:val="single" w:sz="8" w:color="DDDDDD"/>
            </w:tcBorders>
            <w:shd w:val="clear" w:color="auto" w:fill="DDDDDD"/>
          </w:tcPr>
          <w:p>
            <w:pPr>
              <w:spacing w:after="0"/>
              <w:rPr>
                <w:sz w:val="16"/>
                <w:szCs w:val="16"/>
                <w:color w:val="auto"/>
              </w:rPr>
            </w:pPr>
          </w:p>
        </w:tc>
        <w:tc>
          <w:tcPr>
            <w:tcW w:w="20" w:type="dxa"/>
            <w:vAlign w:val="bottom"/>
            <w:tcBorders>
              <w:top w:val="single" w:sz="8" w:color="auto"/>
            </w:tcBorders>
            <w:shd w:val="clear" w:color="auto" w:fill="DDDDDD"/>
          </w:tcPr>
          <w:p>
            <w:pPr>
              <w:spacing w:after="0"/>
              <w:rPr>
                <w:sz w:val="16"/>
                <w:szCs w:val="16"/>
                <w:color w:val="auto"/>
              </w:rPr>
            </w:pPr>
          </w:p>
        </w:tc>
      </w:tr>
      <w:tr>
        <w:trPr>
          <w:trHeight w:val="246"/>
        </w:trPr>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(1,309 )</w:t>
            </w: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(4,426 )</w:t>
            </w:r>
          </w:p>
        </w:tc>
        <w:tc>
          <w:tcPr>
            <w:tcW w:w="20" w:type="dxa"/>
            <w:vAlign w:val="bottom"/>
            <w:tcBorders>
              <w:bottom w:val="single" w:sz="8" w:color="auto"/>
            </w:tcBorders>
          </w:tcPr>
          <w:p>
            <w:pPr>
              <w:spacing w:after="0"/>
              <w:rPr>
                <w:sz w:val="20"/>
                <w:szCs w:val="20"/>
                <w:color w:val="auto"/>
              </w:rPr>
            </w:pPr>
          </w:p>
        </w:tc>
      </w:tr>
      <w:tr>
        <w:trPr>
          <w:trHeight w:val="209"/>
        </w:trPr>
        <w:tc>
          <w:tcPr>
            <w:tcW w:w="5940" w:type="dxa"/>
            <w:vAlign w:val="bottom"/>
            <w:tcBorders>
              <w:top w:val="single" w:sz="8" w:color="DDDDDD"/>
              <w:bottom w:val="single" w:sz="8" w:color="DDDDDD"/>
            </w:tcBorders>
            <w:shd w:val="clear" w:color="auto" w:fill="DDDDDD"/>
          </w:tcPr>
          <w:p>
            <w:pPr>
              <w:spacing w:after="0" w:line="181" w:lineRule="exact"/>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rPr>
              <w:t>5,801</w:t>
            </w:r>
          </w:p>
        </w:tc>
        <w:tc>
          <w:tcPr>
            <w:tcW w:w="22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rPr>
              <w:t>(1,306</w:t>
            </w:r>
          </w:p>
        </w:tc>
        <w:tc>
          <w:tcPr>
            <w:tcW w:w="10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rPr>
              <w:t>7,107</w:t>
            </w: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20" w:type="dxa"/>
            <w:vAlign w:val="bottom"/>
            <w:tcBorders>
              <w:top w:val="single" w:sz="8" w:color="auto"/>
              <w:bottom w:val="single" w:sz="8" w:color="DDDDDD"/>
            </w:tcBorders>
            <w:shd w:val="clear" w:color="auto" w:fill="DDDDDD"/>
          </w:tcPr>
          <w:p>
            <w:pPr>
              <w:spacing w:after="0"/>
              <w:rPr>
                <w:sz w:val="17"/>
                <w:szCs w:val="17"/>
                <w:color w:val="auto"/>
              </w:rPr>
            </w:pPr>
          </w:p>
        </w:tc>
      </w:tr>
      <w:tr>
        <w:trPr>
          <w:trHeight w:val="20"/>
        </w:trPr>
        <w:tc>
          <w:tcPr>
            <w:tcW w:w="5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-878840</wp:posOffset>
                </wp:positionV>
                <wp:extent cx="68580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69.1999pt" to="540.2pt,-69.1999pt" o:allowincell="f" strokecolor="#FFFFFF" strokeweight="0.14pt"/>
            </w:pict>
          </mc:Fallback>
        </mc:AlternateConten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GAAP and Non-GAAP Reconciliation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Economic Interest Expense and Economic Net Interest Income</w:t>
      </w:r>
    </w:p>
    <w:p>
      <w:pPr>
        <w:spacing w:after="0" w:line="228" w:lineRule="exact"/>
        <w:rPr>
          <w:sz w:val="20"/>
          <w:szCs w:val="20"/>
          <w:color w:val="auto"/>
        </w:rPr>
      </w:pPr>
    </w:p>
    <w:p>
      <w:pPr>
        <w:ind w:right="680" w:firstLine="360"/>
        <w:spacing w:after="0" w:line="278" w:lineRule="auto"/>
        <w:rPr>
          <w:sz w:val="20"/>
          <w:szCs w:val="20"/>
          <w:color w:val="auto"/>
        </w:rPr>
      </w:pPr>
      <w:r>
        <w:rPr>
          <w:rFonts w:ascii="Times New Roman" w:cs="Times New Roman" w:eastAsia="Times New Roman" w:hAnsi="Times New Roman"/>
          <w:sz w:val="20"/>
          <w:szCs w:val="20"/>
          <w:color w:val="auto"/>
        </w:rPr>
        <w:t>We use derivative instruments, primarily T-Note and SOFR futures contracts to hedge a portion of the interest rate risk on repurchase agreements in a rising rate environment.</w:t>
      </w:r>
    </w:p>
    <w:p>
      <w:pPr>
        <w:spacing w:after="0" w:line="157" w:lineRule="exact"/>
        <w:rPr>
          <w:sz w:val="20"/>
          <w:szCs w:val="20"/>
          <w:color w:val="auto"/>
        </w:rPr>
      </w:pPr>
    </w:p>
    <w:p>
      <w:pPr>
        <w:ind w:right="40" w:firstLine="360"/>
        <w:spacing w:after="0" w:line="252" w:lineRule="auto"/>
        <w:rPr>
          <w:sz w:val="20"/>
          <w:szCs w:val="20"/>
          <w:color w:val="auto"/>
        </w:rPr>
      </w:pPr>
      <w:r>
        <w:rPr>
          <w:rFonts w:ascii="Times New Roman" w:cs="Times New Roman" w:eastAsia="Times New Roman" w:hAnsi="Times New Roman"/>
          <w:sz w:val="20"/>
          <w:szCs w:val="20"/>
          <w:color w:val="auto"/>
        </w:rPr>
        <w:t>We have not designated our derivative financial instruments as hedge accounting relationships, but rather hold them for economic hedging purposes. Changes in fair value of these instruments are presented in a separate line item in our consolidated statements of operations and not included in interest expense. As such, for financial reporting purposes, interest expense and cost of funds are not impacted by the fluctuation in value of the derivative instruments.</w:t>
      </w:r>
    </w:p>
    <w:p>
      <w:pPr>
        <w:spacing w:after="0" w:line="185" w:lineRule="exact"/>
        <w:rPr>
          <w:sz w:val="20"/>
          <w:szCs w:val="20"/>
          <w:color w:val="auto"/>
        </w:rPr>
      </w:pPr>
    </w:p>
    <w:p>
      <w:pPr>
        <w:ind w:right="60" w:firstLine="360"/>
        <w:spacing w:after="0" w:line="245" w:lineRule="auto"/>
        <w:rPr>
          <w:sz w:val="20"/>
          <w:szCs w:val="20"/>
          <w:color w:val="auto"/>
        </w:rPr>
      </w:pPr>
      <w:r>
        <w:rPr>
          <w:rFonts w:ascii="Times New Roman" w:cs="Times New Roman" w:eastAsia="Times New Roman" w:hAnsi="Times New Roman"/>
          <w:sz w:val="20"/>
          <w:szCs w:val="20"/>
          <w:color w:val="auto"/>
        </w:rPr>
        <w:t>For the purpose of computing economic net interest income and ratios relating to cost of funds measures, GAAP interest expense, as reflected in our consolidated statements of operations, is adjusted to reflect the realized and unrealized gains or losses on certain derivative instruments the Company uses that pertain to each period presented. We believe that adjusting our GAAP interest expense for the periods presented by the gains or losses on these derivative instruments may not accurately reflect our economic interest expense for these periods. The reason is that these derivative instruments may cover periods that extend into the future, not just the current period. Any realized or unrealized gains or losses on the derivative instruments reflect the change in market value of the instrument caused by changes in underlying interest rates applicable to the term covered by the instrument, which changes are reflective of the future periods covered by the derivative instrument, not just the current period.</w:t>
      </w:r>
    </w:p>
    <w:p>
      <w:pPr>
        <w:spacing w:after="0" w:line="191"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For each period presented, we have combined the effects of the derivative financial instruments in place for the respective period with the actual interest expense incurred on our borrowings to reflect total economic interest expense for the applicable period. Interest expense, including the effect of derivative instruments for the period, is referred to as economic interest expense. Net interest income, when calculated to include the effect of derivative instruments for the period, is referred to as economic net interest income.</w:t>
      </w:r>
    </w:p>
    <w:p>
      <w:pPr>
        <w:spacing w:after="0" w:line="18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We believe that economic interest expense and economic net interest income provide meaningful information to consider, in</w:t>
      </w:r>
    </w:p>
    <w:p>
      <w:pPr>
        <w:spacing w:after="0" w:line="2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addition to the financial information prepared in accordance with GAAP. The non-GAAP measures help management to evaluate our financial position and performance without the effects of certain transactions and GAAP adjustments that are not necessarily indicative of our current investment portfolio or operations. The gains or losses on derivative instruments presented in our consolidated statements of operations are not necessarily representative of the total interest expense that we will ultimately realize. This is because as interest rates move up or down in the future, the gains or losses we ultimately realize, and which will affect our total interest expense in future periods, may differ from the unrealized gains or losses recognized as of the reporting date.</w:t>
      </w:r>
    </w:p>
    <w:p>
      <w:pPr>
        <w:spacing w:after="0" w:line="191" w:lineRule="exact"/>
        <w:rPr>
          <w:sz w:val="20"/>
          <w:szCs w:val="20"/>
          <w:color w:val="auto"/>
        </w:rPr>
      </w:pPr>
    </w:p>
    <w:p>
      <w:pPr>
        <w:ind w:firstLine="360"/>
        <w:spacing w:after="0" w:line="249" w:lineRule="auto"/>
        <w:rPr>
          <w:sz w:val="20"/>
          <w:szCs w:val="20"/>
          <w:color w:val="auto"/>
        </w:rPr>
      </w:pPr>
      <w:r>
        <w:rPr>
          <w:rFonts w:ascii="Times New Roman" w:cs="Times New Roman" w:eastAsia="Times New Roman" w:hAnsi="Times New Roman"/>
          <w:sz w:val="20"/>
          <w:szCs w:val="20"/>
          <w:color w:val="auto"/>
        </w:rPr>
        <w:t>Our presentation of the economic value of our hedging strategy has important limitations. First, other market participants may calculate economic interest expense and economic net interest income differently than the way we calculate them. Second, while we believe that the calculation of the economic value of our hedging strategy described above helps to present our financial position and performance, it may be of limited usefulness as an analytical tool. Therefore, the economic value of our investment strategy should not be viewed in isolation and is not a substitute for interest expense and net interest income computed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800"/>
          </w:cols>
          <w:pgMar w:left="720" w:top="785" w:right="720" w:bottom="135" w:gutter="0" w:footer="0" w:header="0"/>
        </w:sectPr>
      </w:pPr>
    </w:p>
    <w:bookmarkStart w:id="36" w:name="page37"/>
    <w:bookmarkEnd w:id="36"/>
    <w:p>
      <w:pPr>
        <w:jc w:val="both"/>
        <w:ind w:right="40" w:firstLine="360"/>
        <w:spacing w:after="0" w:line="259" w:lineRule="auto"/>
        <w:rPr>
          <w:sz w:val="20"/>
          <w:szCs w:val="20"/>
          <w:color w:val="auto"/>
        </w:rPr>
      </w:pPr>
      <w:r>
        <w:rPr>
          <w:rFonts w:ascii="Times New Roman" w:cs="Times New Roman" w:eastAsia="Times New Roman" w:hAnsi="Times New Roman"/>
          <w:sz w:val="20"/>
          <w:szCs w:val="20"/>
          <w:color w:val="auto"/>
        </w:rPr>
        <w:t>The tables below present a reconciliation of the adjustments discussed above to interest expense shown for each period relative to our derivative instruments, and the consolidated statements of operations line item, gains (losses) on derivative instruments, calculated in accordance with GAAP for the years ended December 31, 2025 and 2024 and for each quarter during 2025 and 2024.</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Gains (Losses) on Derivative Instruments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9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00" w:type="dxa"/>
            <w:vAlign w:val="bottom"/>
            <w:tcBorders>
              <w:top w:val="single" w:sz="8" w:color="auto"/>
              <w:bottom w:val="single" w:sz="8" w:color="auto"/>
            </w:tcBorders>
          </w:tcPr>
          <w:p>
            <w:pPr>
              <w:spacing w:after="0"/>
              <w:rPr>
                <w:sz w:val="18"/>
                <w:szCs w:val="18"/>
                <w:color w:val="auto"/>
              </w:rPr>
            </w:pPr>
          </w:p>
        </w:tc>
        <w:tc>
          <w:tcPr>
            <w:tcW w:w="3040" w:type="dxa"/>
            <w:vAlign w:val="bottom"/>
            <w:tcBorders>
              <w:top w:val="single" w:sz="8" w:color="auto"/>
              <w:bottom w:val="single" w:sz="8" w:color="auto"/>
            </w:tcBorders>
            <w:gridSpan w:val="7"/>
          </w:tcPr>
          <w:p>
            <w:pPr>
              <w:ind w:left="780"/>
              <w:spacing w:after="0"/>
              <w:rPr>
                <w:sz w:val="20"/>
                <w:szCs w:val="20"/>
                <w:color w:val="auto"/>
              </w:rPr>
            </w:pPr>
            <w:r>
              <w:rPr>
                <w:rFonts w:ascii="Times New Roman" w:cs="Times New Roman" w:eastAsia="Times New Roman" w:hAnsi="Times New Roman"/>
                <w:sz w:val="18"/>
                <w:szCs w:val="18"/>
                <w:b w:val="1"/>
                <w:bCs w:val="1"/>
                <w:color w:val="auto"/>
              </w:rPr>
              <w:t>Funding Hedges</w:t>
            </w:r>
          </w:p>
        </w:tc>
        <w:tc>
          <w:tcPr>
            <w:tcW w:w="0" w:type="dxa"/>
            <w:vAlign w:val="bottom"/>
          </w:tcPr>
          <w:p>
            <w:pPr>
              <w:spacing w:after="0"/>
              <w:rPr>
                <w:sz w:val="1"/>
                <w:szCs w:val="1"/>
                <w:color w:val="auto"/>
              </w:rPr>
            </w:pP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220"/>
              <w:spacing w:after="0" w:line="191" w:lineRule="exact"/>
              <w:rPr>
                <w:sz w:val="20"/>
                <w:szCs w:val="20"/>
                <w:color w:val="auto"/>
              </w:rPr>
            </w:pPr>
            <w:r>
              <w:rPr>
                <w:rFonts w:ascii="Times New Roman" w:cs="Times New Roman" w:eastAsia="Times New Roman" w:hAnsi="Times New Roman"/>
                <w:sz w:val="18"/>
                <w:szCs w:val="18"/>
                <w:b w:val="1"/>
                <w:bCs w:val="1"/>
                <w:color w:val="auto"/>
              </w:rPr>
              <w:t>Attributed to</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240"/>
              <w:spacing w:after="0" w:line="191" w:lineRule="exact"/>
              <w:rPr>
                <w:sz w:val="20"/>
                <w:szCs w:val="20"/>
                <w:color w:val="auto"/>
              </w:rPr>
            </w:pPr>
            <w:r>
              <w:rPr>
                <w:rFonts w:ascii="Times New Roman" w:cs="Times New Roman" w:eastAsia="Times New Roman" w:hAnsi="Times New Roman"/>
                <w:sz w:val="18"/>
                <w:szCs w:val="18"/>
                <w:b w:val="1"/>
                <w:bCs w:val="1"/>
                <w:color w:val="auto"/>
              </w:rPr>
              <w:t>Attributed to</w:t>
            </w:r>
          </w:p>
        </w:tc>
        <w:tc>
          <w:tcPr>
            <w:tcW w:w="0" w:type="dxa"/>
            <w:vAlign w:val="bottom"/>
          </w:tcPr>
          <w:p>
            <w:pPr>
              <w:spacing w:after="0"/>
              <w:rPr>
                <w:sz w:val="1"/>
                <w:szCs w:val="1"/>
                <w:color w:val="auto"/>
              </w:rPr>
            </w:pPr>
          </w:p>
        </w:tc>
      </w:tr>
      <w:tr>
        <w:trPr>
          <w:trHeight w:val="217"/>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Statement of</w:t>
            </w: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Future</w:t>
            </w:r>
          </w:p>
        </w:tc>
        <w:tc>
          <w:tcPr>
            <w:tcW w:w="0" w:type="dxa"/>
            <w:vAlign w:val="bottom"/>
          </w:tcPr>
          <w:p>
            <w:pPr>
              <w:spacing w:after="0"/>
              <w:rPr>
                <w:sz w:val="1"/>
                <w:szCs w:val="1"/>
                <w:color w:val="auto"/>
              </w:rPr>
            </w:pPr>
          </w:p>
        </w:tc>
      </w:tr>
      <w:tr>
        <w:trPr>
          <w:trHeight w:val="217"/>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Periods</w:t>
            </w:r>
          </w:p>
        </w:tc>
        <w:tc>
          <w:tcPr>
            <w:tcW w:w="0" w:type="dxa"/>
            <w:vAlign w:val="bottom"/>
          </w:tcPr>
          <w:p>
            <w:pPr>
              <w:spacing w:after="0"/>
              <w:rPr>
                <w:sz w:val="1"/>
                <w:szCs w:val="1"/>
                <w:color w:val="auto"/>
              </w:rPr>
            </w:pPr>
          </w:p>
        </w:tc>
      </w:tr>
      <w:tr>
        <w:trPr>
          <w:trHeight w:val="260"/>
        </w:trPr>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0" w:type="dxa"/>
            <w:vAlign w:val="bottom"/>
          </w:tcPr>
          <w:p>
            <w:pPr>
              <w:spacing w:after="0"/>
              <w:rPr>
                <w:sz w:val="1"/>
                <w:szCs w:val="1"/>
                <w:color w:val="auto"/>
              </w:rPr>
            </w:pPr>
          </w:p>
        </w:tc>
      </w:tr>
      <w:tr>
        <w:trPr>
          <w:trHeight w:val="187"/>
        </w:trPr>
        <w:tc>
          <w:tcPr>
            <w:tcW w:w="5940" w:type="dxa"/>
            <w:vAlign w:val="bottom"/>
            <w:tcBorders>
              <w:top w:val="single" w:sz="8" w:color="DDDDDD"/>
            </w:tcBorders>
            <w:shd w:val="clear" w:color="auto" w:fill="DDDDDD"/>
          </w:tcPr>
          <w:p>
            <w:pPr>
              <w:spacing w:after="0" w:line="187" w:lineRule="exact"/>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36</w:t>
            </w:r>
          </w:p>
        </w:tc>
        <w:tc>
          <w:tcPr>
            <w:tcW w:w="2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top w:val="single" w:sz="8" w:color="DDDDDD"/>
            </w:tcBorders>
            <w:shd w:val="clear" w:color="auto" w:fill="DDDDDD"/>
          </w:tcPr>
          <w:p>
            <w:pPr>
              <w:spacing w:after="0"/>
              <w:rPr>
                <w:sz w:val="16"/>
                <w:szCs w:val="16"/>
                <w:color w:val="auto"/>
              </w:rPr>
            </w:pPr>
          </w:p>
        </w:tc>
        <w:tc>
          <w:tcPr>
            <w:tcW w:w="1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0" w:type="dxa"/>
            <w:vAlign w:val="bottom"/>
            <w:tcBorders>
              <w:top w:val="single" w:sz="8" w:color="auto"/>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20" w:type="dxa"/>
            <w:vAlign w:val="bottom"/>
            <w:shd w:val="clear" w:color="auto" w:fill="DDDDDD"/>
          </w:tcPr>
          <w:p>
            <w:pPr>
              <w:jc w:val="right"/>
              <w:ind w:right="80"/>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(1,369 )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2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(1,991 )</w:t>
            </w:r>
          </w:p>
        </w:tc>
        <w:tc>
          <w:tcPr>
            <w:tcW w:w="1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5940" w:type="dxa"/>
            <w:vAlign w:val="bottom"/>
            <w:tcBorders>
              <w:top w:val="single" w:sz="8" w:color="DDDDDD"/>
              <w:bottom w:val="single" w:sz="8" w:color="auto"/>
            </w:tcBorders>
            <w:shd w:val="clear" w:color="auto" w:fill="DDDDDD"/>
          </w:tcPr>
          <w:p>
            <w:pPr>
              <w:spacing w:after="0" w:line="185" w:lineRule="exact"/>
              <w:rPr>
                <w:sz w:val="20"/>
                <w:szCs w:val="20"/>
                <w:color w:val="auto"/>
              </w:rPr>
            </w:pPr>
            <w:r>
              <w:rPr>
                <w:rFonts w:ascii="Times New Roman" w:cs="Times New Roman" w:eastAsia="Times New Roman" w:hAnsi="Times New Roman"/>
                <w:sz w:val="18"/>
                <w:szCs w:val="18"/>
                <w:b w:val="1"/>
                <w:bCs w:val="1"/>
                <w:color w:val="auto"/>
              </w:rPr>
              <w:t>Years Ended</w:t>
            </w:r>
          </w:p>
        </w:tc>
        <w:tc>
          <w:tcPr>
            <w:tcW w:w="12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1300" w:type="dxa"/>
            <w:vAlign w:val="bottom"/>
            <w:tcBorders>
              <w:top w:val="single" w:sz="8" w:color="DDDDDD"/>
              <w:bottom w:val="single" w:sz="8" w:color="auto"/>
            </w:tcBorders>
            <w:shd w:val="clear" w:color="auto" w:fill="DDDDDD"/>
          </w:tcPr>
          <w:p>
            <w:pPr>
              <w:spacing w:after="0"/>
              <w:rPr>
                <w:sz w:val="16"/>
                <w:szCs w:val="16"/>
                <w:color w:val="auto"/>
              </w:rPr>
            </w:pPr>
          </w:p>
        </w:tc>
        <w:tc>
          <w:tcPr>
            <w:tcW w:w="22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130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12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130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20" w:type="dxa"/>
            <w:vAlign w:val="bottom"/>
            <w:tcBorders>
              <w:top w:val="single" w:sz="8" w:color="auto"/>
              <w:bottom w:val="single" w:sz="8" w:color="auto"/>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(1,934 )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4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tcBorders>
              <w:bottom w:val="single" w:sz="8" w:color="auto"/>
            </w:tcBorders>
            <w:shd w:val="clear" w:color="auto" w:fill="DDDDDD"/>
          </w:tcPr>
          <w:p>
            <w:pPr>
              <w:spacing w:after="0"/>
              <w:rPr>
                <w:sz w:val="19"/>
                <w:szCs w:val="19"/>
                <w:color w:val="auto"/>
              </w:rPr>
            </w:pPr>
          </w:p>
        </w:tc>
        <w:tc>
          <w:tcPr>
            <w:tcW w:w="100" w:type="dxa"/>
            <w:vAlign w:val="bottom"/>
            <w:tcBorders>
              <w:bottom w:val="single" w:sz="8" w:color="auto"/>
            </w:tcBorders>
            <w:shd w:val="clear" w:color="auto" w:fill="DDDDDD"/>
          </w:tcPr>
          <w:p>
            <w:pPr>
              <w:spacing w:after="0"/>
              <w:rPr>
                <w:sz w:val="19"/>
                <w:szCs w:val="19"/>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220" w:type="dxa"/>
            <w:vAlign w:val="bottom"/>
            <w:tcBorders>
              <w:bottom w:val="single" w:sz="8" w:color="auto"/>
            </w:tcBorders>
            <w:shd w:val="clear" w:color="auto" w:fill="DDDDDD"/>
          </w:tcPr>
          <w:p>
            <w:pPr>
              <w:spacing w:after="0"/>
              <w:rPr>
                <w:sz w:val="19"/>
                <w:szCs w:val="19"/>
                <w:color w:val="auto"/>
              </w:rPr>
            </w:pPr>
          </w:p>
        </w:tc>
        <w:tc>
          <w:tcPr>
            <w:tcW w:w="100" w:type="dxa"/>
            <w:vAlign w:val="bottom"/>
            <w:tcBorders>
              <w:bottom w:val="single" w:sz="8" w:color="auto"/>
            </w:tcBorders>
            <w:shd w:val="clear" w:color="auto" w:fill="DDDDDD"/>
          </w:tcPr>
          <w:p>
            <w:pPr>
              <w:spacing w:after="0"/>
              <w:rPr>
                <w:sz w:val="19"/>
                <w:szCs w:val="19"/>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auto"/>
            </w:tcBorders>
            <w:shd w:val="clear" w:color="auto" w:fill="DDDDDD"/>
          </w:tcPr>
          <w:p>
            <w:pPr>
              <w:spacing w:after="0"/>
              <w:rPr>
                <w:sz w:val="19"/>
                <w:szCs w:val="19"/>
                <w:color w:val="auto"/>
              </w:rPr>
            </w:pPr>
          </w:p>
        </w:tc>
        <w:tc>
          <w:tcPr>
            <w:tcW w:w="120" w:type="dxa"/>
            <w:vAlign w:val="bottom"/>
            <w:tcBorders>
              <w:bottom w:val="single" w:sz="8" w:color="auto"/>
            </w:tcBorders>
            <w:shd w:val="clear" w:color="auto" w:fill="DDDDDD"/>
          </w:tcPr>
          <w:p>
            <w:pPr>
              <w:spacing w:after="0"/>
              <w:rPr>
                <w:sz w:val="19"/>
                <w:szCs w:val="19"/>
                <w:color w:val="auto"/>
              </w:rPr>
            </w:pPr>
          </w:p>
        </w:tc>
        <w:tc>
          <w:tcPr>
            <w:tcW w:w="100" w:type="dxa"/>
            <w:vAlign w:val="bottom"/>
            <w:tcBorders>
              <w:bottom w:val="single" w:sz="8" w:color="auto"/>
            </w:tcBorders>
            <w:shd w:val="clear" w:color="auto" w:fill="DDDDDD"/>
          </w:tcPr>
          <w:p>
            <w:pPr>
              <w:spacing w:after="0"/>
              <w:rPr>
                <w:sz w:val="19"/>
                <w:szCs w:val="19"/>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tcBorders>
              <w:bottom w:val="single" w:sz="8" w:color="auto"/>
            </w:tcBorders>
            <w:shd w:val="clear" w:color="auto" w:fill="DDDDDD"/>
          </w:tcPr>
          <w:p>
            <w:pPr>
              <w:spacing w:after="0"/>
              <w:rPr>
                <w:sz w:val="19"/>
                <w:szCs w:val="19"/>
                <w:color w:val="auto"/>
              </w:rPr>
            </w:pPr>
          </w:p>
        </w:tc>
        <w:tc>
          <w:tcPr>
            <w:tcW w:w="20" w:type="dxa"/>
            <w:vAlign w:val="bottom"/>
            <w:tcBorders>
              <w:bottom w:val="single" w:sz="8" w:color="auto"/>
            </w:tcBorders>
            <w:shd w:val="clear" w:color="auto" w:fill="DDDDDD"/>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-283210</wp:posOffset>
                </wp:positionV>
                <wp:extent cx="68580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22.2999pt" to="540.2pt,-22.2999pt" o:allowincell="f" strokecolor="#FFFFFF" strokeweight="0.1399pt"/>
            </w:pict>
          </mc:Fallback>
        </mc:AlternateConten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Economic Net Portfolio Interest Income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24130</wp:posOffset>
                </wp:positionV>
                <wp:extent cx="685800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9pt" to="540.2pt,1.9pt" o:allowincell="f" strokecolor="#FFFFFF" strokeweight="0.14pt"/>
            </w:pict>
          </mc:Fallback>
        </mc:AlternateConten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0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680" w:type="dxa"/>
            <w:vAlign w:val="bottom"/>
            <w:tcBorders>
              <w:top w:val="single" w:sz="8" w:color="auto"/>
              <w:bottom w:val="single" w:sz="8" w:color="auto"/>
            </w:tcBorders>
            <w:gridSpan w:val="9"/>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Interest Expense on Repurchase Agreements</w:t>
            </w:r>
          </w:p>
        </w:tc>
        <w:tc>
          <w:tcPr>
            <w:tcW w:w="100" w:type="dxa"/>
            <w:vAlign w:val="bottom"/>
            <w:tcBorders>
              <w:top w:val="single" w:sz="8" w:color="auto"/>
            </w:tcBorders>
          </w:tcPr>
          <w:p>
            <w:pPr>
              <w:spacing w:after="0"/>
              <w:rPr>
                <w:sz w:val="18"/>
                <w:szCs w:val="18"/>
                <w:color w:val="auto"/>
              </w:rPr>
            </w:pPr>
          </w:p>
        </w:tc>
        <w:tc>
          <w:tcPr>
            <w:tcW w:w="2500" w:type="dxa"/>
            <w:vAlign w:val="bottom"/>
            <w:tcBorders>
              <w:top w:val="single" w:sz="8" w:color="auto"/>
              <w:bottom w:val="single" w:sz="8" w:color="auto"/>
            </w:tcBorders>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Net Portfolio Interest Income</w:t>
            </w:r>
          </w:p>
        </w:tc>
      </w:tr>
      <w:tr>
        <w:trPr>
          <w:trHeight w:val="182"/>
        </w:trPr>
        <w:tc>
          <w:tcPr>
            <w:tcW w:w="3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120"/>
              <w:spacing w:after="0" w:line="182" w:lineRule="exact"/>
              <w:rPr>
                <w:sz w:val="20"/>
                <w:szCs w:val="20"/>
                <w:color w:val="auto"/>
              </w:rPr>
            </w:pPr>
            <w:r>
              <w:rPr>
                <w:rFonts w:ascii="Times New Roman" w:cs="Times New Roman" w:eastAsia="Times New Roman" w:hAnsi="Times New Roman"/>
                <w:sz w:val="18"/>
                <w:szCs w:val="18"/>
                <w:b w:val="1"/>
                <w:bCs w:val="1"/>
                <w:color w:val="auto"/>
              </w:rPr>
              <w:t>Effect of</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8"/>
        </w:trPr>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Economic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Economic</w:t>
            </w:r>
          </w:p>
        </w:tc>
      </w:tr>
      <w:tr>
        <w:trPr>
          <w:trHeight w:val="260"/>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0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GAAP Basis</w:t>
            </w: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Hedges</w:t>
            </w:r>
            <w:r>
              <w:rPr>
                <w:rFonts w:ascii="Times New Roman" w:cs="Times New Roman" w:eastAsia="Times New Roman" w:hAnsi="Times New Roman"/>
                <w:sz w:val="9"/>
                <w:szCs w:val="9"/>
                <w:b w:val="1"/>
                <w:bCs w:val="1"/>
                <w:color w:val="auto"/>
                <w:w w:val="99"/>
              </w:rPr>
              <w:t>(1)</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Basis</w:t>
            </w:r>
            <w:r>
              <w:rPr>
                <w:rFonts w:ascii="Times New Roman" w:cs="Times New Roman" w:eastAsia="Times New Roman" w:hAnsi="Times New Roman"/>
                <w:sz w:val="9"/>
                <w:szCs w:val="9"/>
                <w:b w:val="1"/>
                <w:bCs w:val="1"/>
                <w:color w:val="auto"/>
              </w:rPr>
              <w:t>(2)</w:t>
            </w: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GAAP Basis</w:t>
            </w: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Basis</w:t>
            </w:r>
            <w:r>
              <w:rPr>
                <w:rFonts w:ascii="Times New Roman" w:cs="Times New Roman" w:eastAsia="Times New Roman" w:hAnsi="Times New Roman"/>
                <w:sz w:val="9"/>
                <w:szCs w:val="9"/>
                <w:b w:val="1"/>
                <w:bCs w:val="1"/>
                <w:color w:val="auto"/>
              </w:rPr>
              <w:t>(3)</w:t>
            </w:r>
          </w:p>
        </w:tc>
      </w:tr>
      <w:tr>
        <w:trPr>
          <w:trHeight w:val="182"/>
        </w:trPr>
        <w:tc>
          <w:tcPr>
            <w:tcW w:w="302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1,451</w:t>
            </w:r>
          </w:p>
        </w:tc>
        <w:tc>
          <w:tcPr>
            <w:tcW w:w="22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980" w:type="dxa"/>
            <w:vAlign w:val="bottom"/>
            <w:tcBorders>
              <w:top w:val="single" w:sz="8" w:color="DDDDDD"/>
              <w:bottom w:val="single" w:sz="8" w:color="DDDDDD"/>
            </w:tcBorders>
            <w:shd w:val="clear" w:color="auto" w:fill="DDDDDD"/>
          </w:tcPr>
          <w:p>
            <w:pPr>
              <w:ind w:left="560"/>
              <w:spacing w:after="0" w:line="182" w:lineRule="exact"/>
              <w:rPr>
                <w:sz w:val="20"/>
                <w:szCs w:val="20"/>
                <w:color w:val="auto"/>
              </w:rPr>
            </w:pPr>
            <w:r>
              <w:rPr>
                <w:rFonts w:ascii="Times New Roman" w:cs="Times New Roman" w:eastAsia="Times New Roman" w:hAnsi="Times New Roman"/>
                <w:sz w:val="18"/>
                <w:szCs w:val="18"/>
                <w:color w:val="auto"/>
                <w:w w:val="98"/>
              </w:rPr>
              <w:t>1,022</w:t>
            </w:r>
          </w:p>
        </w:tc>
        <w:tc>
          <w:tcPr>
            <w:tcW w:w="220" w:type="dxa"/>
            <w:vAlign w:val="bottom"/>
            <w:tcBorders>
              <w:top w:val="single" w:sz="8" w:color="DDDDDD"/>
              <w:bottom w:val="single" w:sz="8" w:color="DDDDDD"/>
            </w:tcBorders>
            <w:shd w:val="clear" w:color="auto" w:fill="DDDDDD"/>
          </w:tcPr>
          <w:p>
            <w:pPr>
              <w:spacing w:after="0"/>
              <w:rPr>
                <w:sz w:val="15"/>
                <w:szCs w:val="15"/>
                <w:color w:val="auto"/>
              </w:rPr>
            </w:pPr>
          </w:p>
        </w:tc>
        <w:tc>
          <w:tcPr>
            <w:tcW w:w="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99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(109</w:t>
            </w:r>
          </w:p>
        </w:tc>
        <w:tc>
          <w:tcPr>
            <w:tcW w:w="11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highlight w:val="lightGray"/>
                <w:w w:val="74"/>
              </w:rPr>
              <w:t>)</w:t>
            </w: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913</w:t>
            </w: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429</w:t>
            </w:r>
          </w:p>
        </w:tc>
        <w:tc>
          <w:tcPr>
            <w:tcW w:w="22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538</w:t>
            </w: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20" w:type="dxa"/>
            <w:vAlign w:val="bottom"/>
            <w:tcBorders>
              <w:top w:val="single" w:sz="8" w:color="auto"/>
              <w:bottom w:val="single" w:sz="8" w:color="DDDDDD"/>
            </w:tcBorders>
            <w:shd w:val="clear" w:color="auto" w:fill="DDDDDD"/>
          </w:tcPr>
          <w:p>
            <w:pPr>
              <w:spacing w:after="0"/>
              <w:rPr>
                <w:sz w:val="15"/>
                <w:szCs w:val="15"/>
                <w:color w:val="auto"/>
              </w:rPr>
            </w:pPr>
          </w:p>
        </w:tc>
      </w:tr>
      <w:tr>
        <w:trPr>
          <w:trHeight w:val="202"/>
        </w:trPr>
        <w:tc>
          <w:tcPr>
            <w:tcW w:w="3020" w:type="dxa"/>
            <w:vAlign w:val="bottom"/>
            <w:tcBorders>
              <w:bottom w:val="single" w:sz="8" w:color="DDDDDD"/>
            </w:tcBorders>
          </w:tcPr>
          <w:p>
            <w:pPr>
              <w:spacing w:after="0" w:line="202" w:lineRule="exact"/>
              <w:rPr>
                <w:sz w:val="20"/>
                <w:szCs w:val="20"/>
                <w:color w:val="auto"/>
              </w:rPr>
            </w:pPr>
            <w:r>
              <w:rPr>
                <w:rFonts w:ascii="Times New Roman" w:cs="Times New Roman" w:eastAsia="Times New Roman" w:hAnsi="Times New Roman"/>
                <w:sz w:val="18"/>
                <w:szCs w:val="18"/>
                <w:color w:val="auto"/>
              </w:rPr>
              <w:t>September 30, 2025</w:t>
            </w: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1,534</w:t>
            </w:r>
          </w:p>
        </w:tc>
        <w:tc>
          <w:tcPr>
            <w:tcW w:w="2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ind w:left="560"/>
              <w:spacing w:after="0" w:line="202" w:lineRule="exact"/>
              <w:rPr>
                <w:sz w:val="20"/>
                <w:szCs w:val="20"/>
                <w:color w:val="auto"/>
              </w:rPr>
            </w:pPr>
            <w:r>
              <w:rPr>
                <w:rFonts w:ascii="Times New Roman" w:cs="Times New Roman" w:eastAsia="Times New Roman" w:hAnsi="Times New Roman"/>
                <w:sz w:val="18"/>
                <w:szCs w:val="18"/>
                <w:color w:val="auto"/>
                <w:w w:val="98"/>
              </w:rPr>
              <w:t>1,157</w:t>
            </w:r>
          </w:p>
        </w:tc>
        <w:tc>
          <w:tcPr>
            <w:tcW w:w="2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100" w:type="dxa"/>
            <w:vAlign w:val="bottom"/>
            <w:tcBorders>
              <w:bottom w:val="single" w:sz="8" w:color="DDDDDD"/>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(108 )</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1,049</w:t>
            </w: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377</w:t>
            </w:r>
          </w:p>
        </w:tc>
        <w:tc>
          <w:tcPr>
            <w:tcW w:w="2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r>
      <w:tr>
        <w:trPr>
          <w:trHeight w:val="192"/>
        </w:trPr>
        <w:tc>
          <w:tcPr>
            <w:tcW w:w="302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June 30, 2025</w:t>
            </w: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1,582</w:t>
            </w:r>
          </w:p>
        </w:tc>
        <w:tc>
          <w:tcPr>
            <w:tcW w:w="2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ind w:left="560"/>
              <w:spacing w:after="0" w:line="191" w:lineRule="exact"/>
              <w:rPr>
                <w:sz w:val="20"/>
                <w:szCs w:val="20"/>
                <w:color w:val="auto"/>
              </w:rPr>
            </w:pPr>
            <w:r>
              <w:rPr>
                <w:rFonts w:ascii="Times New Roman" w:cs="Times New Roman" w:eastAsia="Times New Roman" w:hAnsi="Times New Roman"/>
                <w:sz w:val="18"/>
                <w:szCs w:val="18"/>
                <w:color w:val="auto"/>
                <w:w w:val="98"/>
              </w:rPr>
              <w:t>1,191</w:t>
            </w:r>
          </w:p>
        </w:tc>
        <w:tc>
          <w:tcPr>
            <w:tcW w:w="2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99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(112</w:t>
            </w:r>
          </w:p>
        </w:tc>
        <w:tc>
          <w:tcPr>
            <w:tcW w:w="11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1,079</w:t>
            </w: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391</w:t>
            </w:r>
          </w:p>
        </w:tc>
        <w:tc>
          <w:tcPr>
            <w:tcW w:w="2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503</w:t>
            </w:r>
          </w:p>
        </w:tc>
        <w:tc>
          <w:tcPr>
            <w:tcW w:w="100" w:type="dxa"/>
            <w:vAlign w:val="bottom"/>
            <w:tcBorders>
              <w:bottom w:val="single" w:sz="8" w:color="DDDDDD"/>
            </w:tcBorders>
            <w:shd w:val="clear" w:color="auto" w:fill="DDDDDD"/>
          </w:tcPr>
          <w:p>
            <w:pPr>
              <w:spacing w:after="0"/>
              <w:rPr>
                <w:sz w:val="16"/>
                <w:szCs w:val="16"/>
                <w:color w:val="auto"/>
              </w:rPr>
            </w:pPr>
          </w:p>
        </w:tc>
        <w:tc>
          <w:tcPr>
            <w:tcW w:w="20" w:type="dxa"/>
            <w:vAlign w:val="bottom"/>
            <w:tcBorders>
              <w:bottom w:val="single" w:sz="8" w:color="DDDDDD"/>
            </w:tcBorders>
            <w:shd w:val="clear" w:color="auto" w:fill="DDDDDD"/>
          </w:tcPr>
          <w:p>
            <w:pPr>
              <w:spacing w:after="0"/>
              <w:rPr>
                <w:sz w:val="16"/>
                <w:szCs w:val="16"/>
                <w:color w:val="auto"/>
              </w:rPr>
            </w:pPr>
          </w:p>
        </w:tc>
      </w:tr>
      <w:tr>
        <w:trPr>
          <w:trHeight w:val="201"/>
        </w:trPr>
        <w:tc>
          <w:tcPr>
            <w:tcW w:w="302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rPr>
              <w:t>March 31, 2025</w:t>
            </w: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1,742</w:t>
            </w:r>
          </w:p>
        </w:tc>
        <w:tc>
          <w:tcPr>
            <w:tcW w:w="2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ind w:left="560"/>
              <w:spacing w:after="0" w:line="201" w:lineRule="exact"/>
              <w:rPr>
                <w:sz w:val="20"/>
                <w:szCs w:val="20"/>
                <w:color w:val="auto"/>
              </w:rPr>
            </w:pPr>
            <w:r>
              <w:rPr>
                <w:rFonts w:ascii="Times New Roman" w:cs="Times New Roman" w:eastAsia="Times New Roman" w:hAnsi="Times New Roman"/>
                <w:sz w:val="18"/>
                <w:szCs w:val="18"/>
                <w:color w:val="auto"/>
                <w:w w:val="98"/>
              </w:rPr>
              <w:t>1,307</w:t>
            </w:r>
          </w:p>
        </w:tc>
        <w:tc>
          <w:tcPr>
            <w:tcW w:w="2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10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(106 )</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1,201</w:t>
            </w: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435</w:t>
            </w:r>
          </w:p>
        </w:tc>
        <w:tc>
          <w:tcPr>
            <w:tcW w:w="2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r>
      <w:tr>
        <w:trPr>
          <w:trHeight w:val="192"/>
        </w:trPr>
        <w:tc>
          <w:tcPr>
            <w:tcW w:w="3020" w:type="dxa"/>
            <w:vAlign w:val="bottom"/>
            <w:tcBorders>
              <w:bottom w:val="single" w:sz="8" w:color="DDDDDD"/>
            </w:tcBorders>
            <w:shd w:val="clear" w:color="auto" w:fill="DDDDDD"/>
          </w:tcPr>
          <w:p>
            <w:pPr>
              <w:spacing w:after="0" w:line="193" w:lineRule="exact"/>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1,673</w:t>
            </w:r>
          </w:p>
        </w:tc>
        <w:tc>
          <w:tcPr>
            <w:tcW w:w="2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ind w:left="560"/>
              <w:spacing w:after="0" w:line="193" w:lineRule="exact"/>
              <w:rPr>
                <w:sz w:val="20"/>
                <w:szCs w:val="20"/>
                <w:color w:val="auto"/>
              </w:rPr>
            </w:pPr>
            <w:r>
              <w:rPr>
                <w:rFonts w:ascii="Times New Roman" w:cs="Times New Roman" w:eastAsia="Times New Roman" w:hAnsi="Times New Roman"/>
                <w:sz w:val="18"/>
                <w:szCs w:val="18"/>
                <w:color w:val="auto"/>
                <w:w w:val="98"/>
              </w:rPr>
              <w:t>1,402</w:t>
            </w:r>
          </w:p>
        </w:tc>
        <w:tc>
          <w:tcPr>
            <w:tcW w:w="2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99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w:t>
            </w:r>
          </w:p>
        </w:tc>
        <w:tc>
          <w:tcPr>
            <w:tcW w:w="11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1,401</w:t>
            </w: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271</w:t>
            </w:r>
          </w:p>
        </w:tc>
        <w:tc>
          <w:tcPr>
            <w:tcW w:w="2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DDDDDD"/>
            </w:tcBorders>
            <w:shd w:val="clear" w:color="auto" w:fill="DDDDDD"/>
          </w:tcPr>
          <w:p>
            <w:pPr>
              <w:spacing w:after="0"/>
              <w:rPr>
                <w:sz w:val="16"/>
                <w:szCs w:val="16"/>
                <w:color w:val="auto"/>
              </w:rPr>
            </w:pPr>
          </w:p>
        </w:tc>
        <w:tc>
          <w:tcPr>
            <w:tcW w:w="20" w:type="dxa"/>
            <w:vAlign w:val="bottom"/>
            <w:tcBorders>
              <w:bottom w:val="single" w:sz="8" w:color="DDDDDD"/>
            </w:tcBorders>
            <w:shd w:val="clear" w:color="auto" w:fill="DDDDDD"/>
          </w:tcPr>
          <w:p>
            <w:pPr>
              <w:spacing w:after="0"/>
              <w:rPr>
                <w:sz w:val="16"/>
                <w:szCs w:val="16"/>
                <w:color w:val="auto"/>
              </w:rPr>
            </w:pPr>
          </w:p>
        </w:tc>
      </w:tr>
      <w:tr>
        <w:trPr>
          <w:trHeight w:val="202"/>
        </w:trPr>
        <w:tc>
          <w:tcPr>
            <w:tcW w:w="3020" w:type="dxa"/>
            <w:vAlign w:val="bottom"/>
            <w:tcBorders>
              <w:bottom w:val="single" w:sz="8" w:color="DDDDDD"/>
            </w:tcBorders>
          </w:tcPr>
          <w:p>
            <w:pPr>
              <w:spacing w:after="0" w:line="202" w:lineRule="exact"/>
              <w:rPr>
                <w:sz w:val="20"/>
                <w:szCs w:val="20"/>
                <w:color w:val="auto"/>
              </w:rPr>
            </w:pPr>
            <w:r>
              <w:rPr>
                <w:rFonts w:ascii="Times New Roman" w:cs="Times New Roman" w:eastAsia="Times New Roman" w:hAnsi="Times New Roman"/>
                <w:sz w:val="18"/>
                <w:szCs w:val="18"/>
                <w:color w:val="auto"/>
              </w:rPr>
              <w:t>September 30, 2024</w:t>
            </w: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1,485</w:t>
            </w:r>
          </w:p>
        </w:tc>
        <w:tc>
          <w:tcPr>
            <w:tcW w:w="2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ind w:left="560"/>
              <w:spacing w:after="0" w:line="202" w:lineRule="exact"/>
              <w:rPr>
                <w:sz w:val="20"/>
                <w:szCs w:val="20"/>
                <w:color w:val="auto"/>
              </w:rPr>
            </w:pPr>
            <w:r>
              <w:rPr>
                <w:rFonts w:ascii="Times New Roman" w:cs="Times New Roman" w:eastAsia="Times New Roman" w:hAnsi="Times New Roman"/>
                <w:sz w:val="18"/>
                <w:szCs w:val="18"/>
                <w:color w:val="auto"/>
                <w:w w:val="98"/>
              </w:rPr>
              <w:t>1,373</w:t>
            </w:r>
          </w:p>
        </w:tc>
        <w:tc>
          <w:tcPr>
            <w:tcW w:w="2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99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36</w:t>
            </w:r>
          </w:p>
        </w:tc>
        <w:tc>
          <w:tcPr>
            <w:tcW w:w="11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1,409</w:t>
            </w: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112</w:t>
            </w:r>
          </w:p>
        </w:tc>
        <w:tc>
          <w:tcPr>
            <w:tcW w:w="2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r>
      <w:tr>
        <w:trPr>
          <w:trHeight w:val="192"/>
        </w:trPr>
        <w:tc>
          <w:tcPr>
            <w:tcW w:w="3020" w:type="dxa"/>
            <w:vAlign w:val="bottom"/>
            <w:tcBorders>
              <w:bottom w:val="single" w:sz="8" w:color="DDDDDD"/>
            </w:tcBorders>
            <w:shd w:val="clear" w:color="auto" w:fill="DDDDDD"/>
          </w:tcPr>
          <w:p>
            <w:pPr>
              <w:spacing w:after="0" w:line="193" w:lineRule="exact"/>
              <w:rPr>
                <w:sz w:val="20"/>
                <w:szCs w:val="20"/>
                <w:color w:val="auto"/>
              </w:rPr>
            </w:pPr>
            <w:r>
              <w:rPr>
                <w:rFonts w:ascii="Times New Roman" w:cs="Times New Roman" w:eastAsia="Times New Roman" w:hAnsi="Times New Roman"/>
                <w:sz w:val="18"/>
                <w:szCs w:val="18"/>
                <w:color w:val="auto"/>
              </w:rPr>
              <w:t>June 30, 2024</w:t>
            </w: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1,287</w:t>
            </w:r>
          </w:p>
        </w:tc>
        <w:tc>
          <w:tcPr>
            <w:tcW w:w="2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ind w:left="560"/>
              <w:spacing w:after="0" w:line="193" w:lineRule="exact"/>
              <w:rPr>
                <w:sz w:val="20"/>
                <w:szCs w:val="20"/>
                <w:color w:val="auto"/>
              </w:rPr>
            </w:pPr>
            <w:r>
              <w:rPr>
                <w:rFonts w:ascii="Times New Roman" w:cs="Times New Roman" w:eastAsia="Times New Roman" w:hAnsi="Times New Roman"/>
                <w:sz w:val="18"/>
                <w:szCs w:val="18"/>
                <w:color w:val="auto"/>
                <w:w w:val="98"/>
              </w:rPr>
              <w:t>1,157</w:t>
            </w:r>
          </w:p>
        </w:tc>
        <w:tc>
          <w:tcPr>
            <w:tcW w:w="2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99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(44</w:t>
            </w:r>
          </w:p>
        </w:tc>
        <w:tc>
          <w:tcPr>
            <w:tcW w:w="11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1,113</w:t>
            </w: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130</w:t>
            </w:r>
          </w:p>
        </w:tc>
        <w:tc>
          <w:tcPr>
            <w:tcW w:w="2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DDDDDD"/>
            </w:tcBorders>
            <w:shd w:val="clear" w:color="auto" w:fill="DDDDDD"/>
          </w:tcPr>
          <w:p>
            <w:pPr>
              <w:spacing w:after="0"/>
              <w:rPr>
                <w:sz w:val="16"/>
                <w:szCs w:val="16"/>
                <w:color w:val="auto"/>
              </w:rPr>
            </w:pPr>
          </w:p>
        </w:tc>
        <w:tc>
          <w:tcPr>
            <w:tcW w:w="20" w:type="dxa"/>
            <w:vAlign w:val="bottom"/>
            <w:tcBorders>
              <w:bottom w:val="single" w:sz="8" w:color="DDDDDD"/>
            </w:tcBorders>
            <w:shd w:val="clear" w:color="auto" w:fill="DDDDDD"/>
          </w:tcPr>
          <w:p>
            <w:pPr>
              <w:spacing w:after="0"/>
              <w:rPr>
                <w:sz w:val="16"/>
                <w:szCs w:val="16"/>
                <w:color w:val="auto"/>
              </w:rPr>
            </w:pPr>
          </w:p>
        </w:tc>
      </w:tr>
      <w:tr>
        <w:trPr>
          <w:trHeight w:val="229"/>
        </w:trPr>
        <w:tc>
          <w:tcPr>
            <w:tcW w:w="3020" w:type="dxa"/>
            <w:vAlign w:val="bottom"/>
            <w:tcBorders>
              <w:bottom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March 31, 2024</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1,394</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560"/>
              <w:spacing w:after="0" w:line="205" w:lineRule="exact"/>
              <w:rPr>
                <w:sz w:val="20"/>
                <w:szCs w:val="20"/>
                <w:color w:val="auto"/>
              </w:rPr>
            </w:pPr>
            <w:r>
              <w:rPr>
                <w:rFonts w:ascii="Times New Roman" w:cs="Times New Roman" w:eastAsia="Times New Roman" w:hAnsi="Times New Roman"/>
                <w:sz w:val="18"/>
                <w:szCs w:val="18"/>
                <w:color w:val="auto"/>
                <w:w w:val="98"/>
              </w:rPr>
              <w:t>1,208</w:t>
            </w: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(21 )</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1,187</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186</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185"/>
        </w:trPr>
        <w:tc>
          <w:tcPr>
            <w:tcW w:w="3020" w:type="dxa"/>
            <w:vAlign w:val="bottom"/>
            <w:tcBorders>
              <w:top w:val="single" w:sz="8" w:color="DDDDDD"/>
              <w:bottom w:val="single" w:sz="8" w:color="auto"/>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Years Ended</w:t>
            </w:r>
          </w:p>
        </w:tc>
        <w:tc>
          <w:tcPr>
            <w:tcW w:w="12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980" w:type="dxa"/>
            <w:vAlign w:val="bottom"/>
            <w:tcBorders>
              <w:top w:val="single" w:sz="8" w:color="DDDDDD"/>
              <w:bottom w:val="single" w:sz="8" w:color="auto"/>
            </w:tcBorders>
            <w:shd w:val="clear" w:color="auto" w:fill="DDDDDD"/>
          </w:tcPr>
          <w:p>
            <w:pPr>
              <w:spacing w:after="0"/>
              <w:rPr>
                <w:sz w:val="16"/>
                <w:szCs w:val="16"/>
                <w:color w:val="auto"/>
              </w:rPr>
            </w:pPr>
          </w:p>
        </w:tc>
        <w:tc>
          <w:tcPr>
            <w:tcW w:w="22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980" w:type="dxa"/>
            <w:vAlign w:val="bottom"/>
            <w:tcBorders>
              <w:top w:val="single" w:sz="8" w:color="DDDDDD"/>
              <w:bottom w:val="single" w:sz="8" w:color="auto"/>
            </w:tcBorders>
            <w:shd w:val="clear" w:color="auto" w:fill="DDDDDD"/>
          </w:tcPr>
          <w:p>
            <w:pPr>
              <w:spacing w:after="0"/>
              <w:rPr>
                <w:sz w:val="16"/>
                <w:szCs w:val="16"/>
                <w:color w:val="auto"/>
              </w:rPr>
            </w:pPr>
          </w:p>
        </w:tc>
        <w:tc>
          <w:tcPr>
            <w:tcW w:w="220" w:type="dxa"/>
            <w:vAlign w:val="bottom"/>
            <w:tcBorders>
              <w:top w:val="single" w:sz="8" w:color="DDDDDD"/>
              <w:bottom w:val="single" w:sz="8" w:color="auto"/>
            </w:tcBorders>
            <w:shd w:val="clear" w:color="auto" w:fill="DDDDDD"/>
          </w:tcPr>
          <w:p>
            <w:pPr>
              <w:spacing w:after="0"/>
              <w:rPr>
                <w:sz w:val="16"/>
                <w:szCs w:val="16"/>
                <w:color w:val="auto"/>
              </w:rPr>
            </w:pPr>
          </w:p>
        </w:tc>
        <w:tc>
          <w:tcPr>
            <w:tcW w:w="80" w:type="dxa"/>
            <w:vAlign w:val="bottom"/>
            <w:tcBorders>
              <w:top w:val="single" w:sz="8" w:color="DDDDDD"/>
              <w:bottom w:val="single" w:sz="8" w:color="auto"/>
            </w:tcBorders>
            <w:shd w:val="clear" w:color="auto" w:fill="DDDDDD"/>
          </w:tcPr>
          <w:p>
            <w:pPr>
              <w:spacing w:after="0"/>
              <w:rPr>
                <w:sz w:val="16"/>
                <w:szCs w:val="16"/>
                <w:color w:val="auto"/>
              </w:rPr>
            </w:pPr>
          </w:p>
        </w:tc>
        <w:tc>
          <w:tcPr>
            <w:tcW w:w="990" w:type="dxa"/>
            <w:vAlign w:val="bottom"/>
            <w:tcBorders>
              <w:top w:val="single" w:sz="8" w:color="DDDDDD"/>
              <w:bottom w:val="single" w:sz="8" w:color="auto"/>
            </w:tcBorders>
            <w:shd w:val="clear" w:color="auto" w:fill="DDDDDD"/>
          </w:tcPr>
          <w:p>
            <w:pPr>
              <w:spacing w:after="0"/>
              <w:rPr>
                <w:sz w:val="16"/>
                <w:szCs w:val="16"/>
                <w:color w:val="auto"/>
              </w:rPr>
            </w:pPr>
          </w:p>
        </w:tc>
        <w:tc>
          <w:tcPr>
            <w:tcW w:w="11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980" w:type="dxa"/>
            <w:vAlign w:val="bottom"/>
            <w:tcBorders>
              <w:top w:val="single" w:sz="8" w:color="DDDDDD"/>
              <w:bottom w:val="single" w:sz="8" w:color="auto"/>
            </w:tcBorders>
            <w:shd w:val="clear" w:color="auto" w:fill="DDDDDD"/>
          </w:tcPr>
          <w:p>
            <w:pPr>
              <w:spacing w:after="0"/>
              <w:rPr>
                <w:sz w:val="16"/>
                <w:szCs w:val="16"/>
                <w:color w:val="auto"/>
              </w:rPr>
            </w:pPr>
          </w:p>
        </w:tc>
        <w:tc>
          <w:tcPr>
            <w:tcW w:w="12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980" w:type="dxa"/>
            <w:vAlign w:val="bottom"/>
            <w:tcBorders>
              <w:top w:val="single" w:sz="8" w:color="DDDDDD"/>
              <w:bottom w:val="single" w:sz="8" w:color="auto"/>
            </w:tcBorders>
            <w:shd w:val="clear" w:color="auto" w:fill="DDDDDD"/>
          </w:tcPr>
          <w:p>
            <w:pPr>
              <w:spacing w:after="0"/>
              <w:rPr>
                <w:sz w:val="16"/>
                <w:szCs w:val="16"/>
                <w:color w:val="auto"/>
              </w:rPr>
            </w:pPr>
          </w:p>
        </w:tc>
        <w:tc>
          <w:tcPr>
            <w:tcW w:w="22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98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20" w:type="dxa"/>
            <w:vAlign w:val="bottom"/>
            <w:tcBorders>
              <w:top w:val="single" w:sz="8" w:color="auto"/>
              <w:bottom w:val="single" w:sz="8" w:color="auto"/>
            </w:tcBorders>
            <w:shd w:val="clear" w:color="auto" w:fill="DDDDDD"/>
          </w:tcPr>
          <w:p>
            <w:pPr>
              <w:spacing w:after="0"/>
              <w:rPr>
                <w:sz w:val="16"/>
                <w:szCs w:val="16"/>
                <w:color w:val="auto"/>
              </w:rPr>
            </w:pPr>
          </w:p>
        </w:tc>
      </w:tr>
      <w:tr>
        <w:trPr>
          <w:trHeight w:val="212"/>
        </w:trPr>
        <w:tc>
          <w:tcPr>
            <w:tcW w:w="302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22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6,309</w:t>
            </w:r>
          </w:p>
        </w:tc>
        <w:tc>
          <w:tcPr>
            <w:tcW w:w="220" w:type="dxa"/>
            <w:vAlign w:val="bottom"/>
            <w:tcBorders>
              <w:bottom w:val="single" w:sz="8" w:color="DDDDDD"/>
            </w:tcBorders>
          </w:tcPr>
          <w:p>
            <w:pPr>
              <w:spacing w:after="0"/>
              <w:rPr>
                <w:sz w:val="18"/>
                <w:szCs w:val="18"/>
                <w:color w:val="auto"/>
              </w:rPr>
            </w:pPr>
          </w:p>
        </w:tc>
        <w:tc>
          <w:tcPr>
            <w:tcW w:w="1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DDDDDD"/>
            </w:tcBorders>
          </w:tcPr>
          <w:p>
            <w:pPr>
              <w:ind w:left="560"/>
              <w:spacing w:after="0"/>
              <w:rPr>
                <w:sz w:val="20"/>
                <w:szCs w:val="20"/>
                <w:color w:val="auto"/>
              </w:rPr>
            </w:pPr>
            <w:r>
              <w:rPr>
                <w:rFonts w:ascii="Times New Roman" w:cs="Times New Roman" w:eastAsia="Times New Roman" w:hAnsi="Times New Roman"/>
                <w:sz w:val="18"/>
                <w:szCs w:val="18"/>
                <w:color w:val="auto"/>
                <w:w w:val="98"/>
              </w:rPr>
              <w:t>4,677</w:t>
            </w:r>
          </w:p>
        </w:tc>
        <w:tc>
          <w:tcPr>
            <w:tcW w:w="30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20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120" w:type="dxa"/>
            <w:vAlign w:val="bottom"/>
            <w:tcBorders>
              <w:bottom w:val="single" w:sz="8" w:color="DDDDDD"/>
            </w:tcBorders>
          </w:tcPr>
          <w:p>
            <w:pPr>
              <w:spacing w:after="0"/>
              <w:rPr>
                <w:sz w:val="18"/>
                <w:szCs w:val="18"/>
                <w:color w:val="auto"/>
              </w:rPr>
            </w:pPr>
          </w:p>
        </w:tc>
        <w:tc>
          <w:tcPr>
            <w:tcW w:w="20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32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r>
      <w:tr>
        <w:trPr>
          <w:trHeight w:val="192"/>
        </w:trPr>
        <w:tc>
          <w:tcPr>
            <w:tcW w:w="3020" w:type="dxa"/>
            <w:vAlign w:val="bottom"/>
            <w:shd w:val="clear" w:color="auto" w:fill="DDDDDD"/>
          </w:tcPr>
          <w:p>
            <w:pPr>
              <w:spacing w:after="0" w:line="193" w:lineRule="exact"/>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80" w:type="dxa"/>
            <w:vAlign w:val="bottom"/>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5,839</w:t>
            </w:r>
          </w:p>
        </w:tc>
        <w:tc>
          <w:tcPr>
            <w:tcW w:w="2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80" w:type="dxa"/>
            <w:vAlign w:val="bottom"/>
            <w:shd w:val="clear" w:color="auto" w:fill="DDDDDD"/>
          </w:tcPr>
          <w:p>
            <w:pPr>
              <w:ind w:left="560"/>
              <w:spacing w:after="0" w:line="193" w:lineRule="exact"/>
              <w:rPr>
                <w:sz w:val="20"/>
                <w:szCs w:val="20"/>
                <w:color w:val="auto"/>
              </w:rPr>
            </w:pPr>
            <w:r>
              <w:rPr>
                <w:rFonts w:ascii="Times New Roman" w:cs="Times New Roman" w:eastAsia="Times New Roman" w:hAnsi="Times New Roman"/>
                <w:sz w:val="18"/>
                <w:szCs w:val="18"/>
                <w:color w:val="auto"/>
                <w:w w:val="98"/>
              </w:rPr>
              <w:t>5,140</w:t>
            </w:r>
          </w:p>
        </w:tc>
        <w:tc>
          <w:tcPr>
            <w:tcW w:w="22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990" w:type="dxa"/>
            <w:vAlign w:val="bottom"/>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(30</w:t>
            </w:r>
          </w:p>
        </w:tc>
        <w:tc>
          <w:tcPr>
            <w:tcW w:w="11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80" w:type="dxa"/>
            <w:vAlign w:val="bottom"/>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5,110</w:t>
            </w:r>
          </w:p>
        </w:tc>
        <w:tc>
          <w:tcPr>
            <w:tcW w:w="1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80" w:type="dxa"/>
            <w:vAlign w:val="bottom"/>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699</w:t>
            </w:r>
          </w:p>
        </w:tc>
        <w:tc>
          <w:tcPr>
            <w:tcW w:w="2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80" w:type="dxa"/>
            <w:vAlign w:val="bottom"/>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r>
      <w:tr>
        <w:trPr>
          <w:trHeight w:val="20"/>
        </w:trPr>
        <w:tc>
          <w:tcPr>
            <w:tcW w:w="3020" w:type="dxa"/>
            <w:vAlign w:val="bottom"/>
            <w:shd w:val="clear" w:color="auto" w:fill="DDDDDD"/>
          </w:tcPr>
          <w:p>
            <w:pPr>
              <w:spacing w:after="0" w:line="20" w:lineRule="exact"/>
              <w:rPr>
                <w:sz w:val="1"/>
                <w:szCs w:val="1"/>
                <w:color w:val="auto"/>
              </w:rPr>
            </w:pPr>
          </w:p>
        </w:tc>
        <w:tc>
          <w:tcPr>
            <w:tcW w:w="120" w:type="dxa"/>
            <w:vAlign w:val="bottom"/>
            <w:shd w:val="clear" w:color="auto" w:fill="DDDDDD"/>
          </w:tcPr>
          <w:p>
            <w:pPr>
              <w:spacing w:after="0" w:line="20" w:lineRule="exact"/>
              <w:rPr>
                <w:sz w:val="1"/>
                <w:szCs w:val="1"/>
                <w:color w:val="auto"/>
              </w:rPr>
            </w:pPr>
          </w:p>
        </w:tc>
        <w:tc>
          <w:tcPr>
            <w:tcW w:w="100" w:type="dxa"/>
            <w:vAlign w:val="bottom"/>
            <w:shd w:val="clear" w:color="auto" w:fill="DDDDDD"/>
          </w:tcPr>
          <w:p>
            <w:pPr>
              <w:spacing w:after="0" w:line="20" w:lineRule="exact"/>
              <w:rPr>
                <w:sz w:val="1"/>
                <w:szCs w:val="1"/>
                <w:color w:val="auto"/>
              </w:rPr>
            </w:pPr>
          </w:p>
        </w:tc>
        <w:tc>
          <w:tcPr>
            <w:tcW w:w="980" w:type="dxa"/>
            <w:vAlign w:val="bottom"/>
            <w:shd w:val="clear" w:color="auto" w:fill="DDDDDD"/>
          </w:tcPr>
          <w:p>
            <w:pPr>
              <w:spacing w:after="0" w:line="20" w:lineRule="exact"/>
              <w:rPr>
                <w:sz w:val="1"/>
                <w:szCs w:val="1"/>
                <w:color w:val="auto"/>
              </w:rPr>
            </w:pPr>
          </w:p>
        </w:tc>
        <w:tc>
          <w:tcPr>
            <w:tcW w:w="220" w:type="dxa"/>
            <w:vAlign w:val="bottom"/>
            <w:shd w:val="clear" w:color="auto" w:fill="DDDDDD"/>
          </w:tcPr>
          <w:p>
            <w:pPr>
              <w:spacing w:after="0" w:line="20" w:lineRule="exact"/>
              <w:rPr>
                <w:sz w:val="1"/>
                <w:szCs w:val="1"/>
                <w:color w:val="auto"/>
              </w:rPr>
            </w:pPr>
          </w:p>
        </w:tc>
        <w:tc>
          <w:tcPr>
            <w:tcW w:w="100" w:type="dxa"/>
            <w:vAlign w:val="bottom"/>
            <w:shd w:val="clear" w:color="auto" w:fill="DDDDDD"/>
          </w:tcPr>
          <w:p>
            <w:pPr>
              <w:spacing w:after="0" w:line="20" w:lineRule="exact"/>
              <w:rPr>
                <w:sz w:val="1"/>
                <w:szCs w:val="1"/>
                <w:color w:val="auto"/>
              </w:rPr>
            </w:pPr>
          </w:p>
        </w:tc>
        <w:tc>
          <w:tcPr>
            <w:tcW w:w="980" w:type="dxa"/>
            <w:vAlign w:val="bottom"/>
            <w:shd w:val="clear" w:color="auto" w:fill="DDDDDD"/>
          </w:tcPr>
          <w:p>
            <w:pPr>
              <w:spacing w:after="0" w:line="20" w:lineRule="exact"/>
              <w:rPr>
                <w:sz w:val="1"/>
                <w:szCs w:val="1"/>
                <w:color w:val="auto"/>
              </w:rPr>
            </w:pPr>
          </w:p>
        </w:tc>
        <w:tc>
          <w:tcPr>
            <w:tcW w:w="220" w:type="dxa"/>
            <w:vAlign w:val="bottom"/>
            <w:shd w:val="clear" w:color="auto" w:fill="DDDDDD"/>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c>
          <w:tcPr>
            <w:tcW w:w="990" w:type="dxa"/>
            <w:vAlign w:val="bottom"/>
            <w:shd w:val="clear" w:color="auto" w:fill="DDDDDD"/>
          </w:tcPr>
          <w:p>
            <w:pPr>
              <w:spacing w:after="0" w:line="20" w:lineRule="exact"/>
              <w:rPr>
                <w:sz w:val="1"/>
                <w:szCs w:val="1"/>
                <w:color w:val="auto"/>
              </w:rPr>
            </w:pPr>
          </w:p>
        </w:tc>
        <w:tc>
          <w:tcPr>
            <w:tcW w:w="110" w:type="dxa"/>
            <w:vAlign w:val="bottom"/>
            <w:shd w:val="clear" w:color="auto" w:fill="DDDDDD"/>
          </w:tcPr>
          <w:p>
            <w:pPr>
              <w:spacing w:after="0" w:line="20" w:lineRule="exact"/>
              <w:rPr>
                <w:sz w:val="1"/>
                <w:szCs w:val="1"/>
                <w:color w:val="auto"/>
              </w:rPr>
            </w:pPr>
          </w:p>
        </w:tc>
        <w:tc>
          <w:tcPr>
            <w:tcW w:w="100" w:type="dxa"/>
            <w:vAlign w:val="bottom"/>
            <w:shd w:val="clear" w:color="auto" w:fill="DDDDDD"/>
          </w:tcPr>
          <w:p>
            <w:pPr>
              <w:spacing w:after="0" w:line="20" w:lineRule="exact"/>
              <w:rPr>
                <w:sz w:val="1"/>
                <w:szCs w:val="1"/>
                <w:color w:val="auto"/>
              </w:rPr>
            </w:pPr>
          </w:p>
        </w:tc>
        <w:tc>
          <w:tcPr>
            <w:tcW w:w="100" w:type="dxa"/>
            <w:vAlign w:val="bottom"/>
            <w:shd w:val="clear" w:color="auto" w:fill="DDDDDD"/>
          </w:tcPr>
          <w:p>
            <w:pPr>
              <w:spacing w:after="0" w:line="20" w:lineRule="exact"/>
              <w:rPr>
                <w:sz w:val="1"/>
                <w:szCs w:val="1"/>
                <w:color w:val="auto"/>
              </w:rPr>
            </w:pPr>
          </w:p>
        </w:tc>
        <w:tc>
          <w:tcPr>
            <w:tcW w:w="980" w:type="dxa"/>
            <w:vAlign w:val="bottom"/>
            <w:shd w:val="clear" w:color="auto" w:fill="DDDDDD"/>
          </w:tcPr>
          <w:p>
            <w:pPr>
              <w:spacing w:after="0" w:line="20" w:lineRule="exact"/>
              <w:rPr>
                <w:sz w:val="1"/>
                <w:szCs w:val="1"/>
                <w:color w:val="auto"/>
              </w:rPr>
            </w:pPr>
          </w:p>
        </w:tc>
        <w:tc>
          <w:tcPr>
            <w:tcW w:w="120" w:type="dxa"/>
            <w:vAlign w:val="bottom"/>
            <w:shd w:val="clear" w:color="auto" w:fill="DDDDDD"/>
          </w:tcPr>
          <w:p>
            <w:pPr>
              <w:spacing w:after="0" w:line="20" w:lineRule="exact"/>
              <w:rPr>
                <w:sz w:val="1"/>
                <w:szCs w:val="1"/>
                <w:color w:val="auto"/>
              </w:rPr>
            </w:pPr>
          </w:p>
        </w:tc>
        <w:tc>
          <w:tcPr>
            <w:tcW w:w="100" w:type="dxa"/>
            <w:vAlign w:val="bottom"/>
            <w:shd w:val="clear" w:color="auto" w:fill="DDDDDD"/>
          </w:tcPr>
          <w:p>
            <w:pPr>
              <w:spacing w:after="0" w:line="20" w:lineRule="exact"/>
              <w:rPr>
                <w:sz w:val="1"/>
                <w:szCs w:val="1"/>
                <w:color w:val="auto"/>
              </w:rPr>
            </w:pPr>
          </w:p>
        </w:tc>
        <w:tc>
          <w:tcPr>
            <w:tcW w:w="100" w:type="dxa"/>
            <w:vAlign w:val="bottom"/>
            <w:shd w:val="clear" w:color="auto" w:fill="DDDDDD"/>
          </w:tcPr>
          <w:p>
            <w:pPr>
              <w:spacing w:after="0" w:line="20" w:lineRule="exact"/>
              <w:rPr>
                <w:sz w:val="1"/>
                <w:szCs w:val="1"/>
                <w:color w:val="auto"/>
              </w:rPr>
            </w:pPr>
          </w:p>
        </w:tc>
        <w:tc>
          <w:tcPr>
            <w:tcW w:w="980" w:type="dxa"/>
            <w:vAlign w:val="bottom"/>
            <w:shd w:val="clear" w:color="auto" w:fill="DDDDDD"/>
          </w:tcPr>
          <w:p>
            <w:pPr>
              <w:spacing w:after="0" w:line="20" w:lineRule="exact"/>
              <w:rPr>
                <w:sz w:val="1"/>
                <w:szCs w:val="1"/>
                <w:color w:val="auto"/>
              </w:rPr>
            </w:pPr>
          </w:p>
        </w:tc>
        <w:tc>
          <w:tcPr>
            <w:tcW w:w="220" w:type="dxa"/>
            <w:vAlign w:val="bottom"/>
            <w:shd w:val="clear" w:color="auto" w:fill="DDDDDD"/>
          </w:tcPr>
          <w:p>
            <w:pPr>
              <w:spacing w:after="0" w:line="20" w:lineRule="exact"/>
              <w:rPr>
                <w:sz w:val="1"/>
                <w:szCs w:val="1"/>
                <w:color w:val="auto"/>
              </w:rPr>
            </w:pPr>
          </w:p>
        </w:tc>
        <w:tc>
          <w:tcPr>
            <w:tcW w:w="100" w:type="dxa"/>
            <w:vAlign w:val="bottom"/>
            <w:shd w:val="clear" w:color="auto" w:fill="DDDDDD"/>
          </w:tcPr>
          <w:p>
            <w:pPr>
              <w:spacing w:after="0" w:line="20" w:lineRule="exact"/>
              <w:rPr>
                <w:sz w:val="1"/>
                <w:szCs w:val="1"/>
                <w:color w:val="auto"/>
              </w:rPr>
            </w:pPr>
          </w:p>
        </w:tc>
        <w:tc>
          <w:tcPr>
            <w:tcW w:w="980" w:type="dxa"/>
            <w:vAlign w:val="bottom"/>
            <w:shd w:val="clear" w:color="auto" w:fill="DDDDDD"/>
          </w:tcPr>
          <w:p>
            <w:pPr>
              <w:spacing w:after="0" w:line="20" w:lineRule="exact"/>
              <w:rPr>
                <w:sz w:val="1"/>
                <w:szCs w:val="1"/>
                <w:color w:val="auto"/>
              </w:rPr>
            </w:pPr>
          </w:p>
        </w:tc>
        <w:tc>
          <w:tcPr>
            <w:tcW w:w="10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2814320</wp:posOffset>
                </wp:positionH>
                <wp:positionV relativeFrom="paragraph">
                  <wp:posOffset>-1938020</wp:posOffset>
                </wp:positionV>
                <wp:extent cx="240030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003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6pt,-152.5999pt" to="410.6pt,-152.59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5214620</wp:posOffset>
                </wp:positionH>
                <wp:positionV relativeFrom="paragraph">
                  <wp:posOffset>-1942465</wp:posOffset>
                </wp:positionV>
                <wp:extent cx="6858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9893">
                          <a:solidFill>
                            <a:srgbClr val="FFFFFF"/>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6pt,-152.9499pt" to="416pt,-152.9499pt" o:allowincell="f" strokecolor="#FFFFFF" strokeweight="0.779pt"/>
            </w:pict>
          </mc:Fallback>
        </mc:AlternateContent>
        <mc:AlternateContent>
          <mc:Choice Requires="wps">
            <w:drawing>
              <wp:anchor simplePos="0" relativeHeight="251657728" behindDoc="1" locked="0" layoutInCell="0" allowOverlap="1">
                <wp:simplePos x="0" y="0"/>
                <wp:positionH relativeFrom="column">
                  <wp:posOffset>5283200</wp:posOffset>
                </wp:positionH>
                <wp:positionV relativeFrom="paragraph">
                  <wp:posOffset>-1938020</wp:posOffset>
                </wp:positionV>
                <wp:extent cx="157734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734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6pt,-152.5999pt" to="540.2pt,-152.59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-565785</wp:posOffset>
                </wp:positionV>
                <wp:extent cx="685800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44.5499pt" to="540.2pt,-44.5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-271780</wp:posOffset>
                </wp:positionV>
                <wp:extent cx="685800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21.3999pt" to="540.2pt,-21.3999pt" o:allowincell="f" strokecolor="#FFFFFF" strokeweight="0.1399pt"/>
            </w:pict>
          </mc:Fallback>
        </mc:AlternateContent>
      </w:r>
    </w:p>
    <w:p>
      <w:pPr>
        <w:spacing w:after="0" w:line="197" w:lineRule="exact"/>
        <w:rPr>
          <w:sz w:val="20"/>
          <w:szCs w:val="20"/>
          <w:color w:val="auto"/>
        </w:rPr>
      </w:pPr>
    </w:p>
    <w:p>
      <w:pPr>
        <w:ind w:left="360" w:hanging="350"/>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effect of derivative instrument hedges for only the period presented.</w:t>
      </w:r>
    </w:p>
    <w:p>
      <w:pPr>
        <w:spacing w:after="0" w:line="33" w:lineRule="exact"/>
        <w:rPr>
          <w:rFonts w:ascii="Times New Roman" w:cs="Times New Roman" w:eastAsia="Times New Roman" w:hAnsi="Times New Roman"/>
          <w:sz w:val="18"/>
          <w:szCs w:val="18"/>
          <w:color w:val="auto"/>
        </w:rPr>
      </w:pPr>
    </w:p>
    <w:p>
      <w:pPr>
        <w:ind w:left="360" w:hanging="350"/>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subtracting the effect of derivative instrument hedges attributed to the period presented from GAAP interest expense.</w:t>
      </w:r>
    </w:p>
    <w:p>
      <w:pPr>
        <w:spacing w:after="0" w:line="9" w:lineRule="exact"/>
        <w:rPr>
          <w:rFonts w:ascii="Times New Roman" w:cs="Times New Roman" w:eastAsia="Times New Roman" w:hAnsi="Times New Roman"/>
          <w:sz w:val="18"/>
          <w:szCs w:val="18"/>
          <w:color w:val="auto"/>
        </w:rPr>
      </w:pPr>
    </w:p>
    <w:p>
      <w:pPr>
        <w:ind w:left="380" w:hanging="370"/>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adding the effect of derivative instrument hedges attributed to the period presented to GAAP net portfolio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800"/>
          </w:cols>
          <w:pgMar w:left="720" w:top="785" w:right="720" w:bottom="135"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20"/>
          <w:szCs w:val="20"/>
          <w:b w:val="1"/>
          <w:bCs w:val="1"/>
          <w:color w:val="auto"/>
        </w:rPr>
        <w:t>Economic Net Interest Income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20"/>
              <w:spacing w:after="0" w:line="193" w:lineRule="exact"/>
              <w:rPr>
                <w:sz w:val="20"/>
                <w:szCs w:val="20"/>
                <w:color w:val="auto"/>
              </w:rPr>
            </w:pPr>
            <w:r>
              <w:rPr>
                <w:rFonts w:ascii="Times New Roman" w:cs="Times New Roman" w:eastAsia="Times New Roman" w:hAnsi="Times New Roman"/>
                <w:sz w:val="18"/>
                <w:szCs w:val="18"/>
                <w:b w:val="1"/>
                <w:bCs w:val="1"/>
                <w:color w:val="auto"/>
                <w:w w:val="99"/>
              </w:rPr>
              <w:t>Interest</w:t>
            </w: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Net Portfolio</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Expense on</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6"/>
        </w:trPr>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Long-Term</w:t>
            </w:r>
          </w:p>
        </w:tc>
        <w:tc>
          <w:tcPr>
            <w:tcW w:w="250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 (Expense)</w:t>
            </w:r>
          </w:p>
        </w:tc>
      </w:tr>
      <w:tr>
        <w:trPr>
          <w:trHeight w:val="191"/>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210"/>
              <w:spacing w:after="0" w:line="191" w:lineRule="exact"/>
              <w:rPr>
                <w:sz w:val="20"/>
                <w:szCs w:val="20"/>
                <w:color w:val="auto"/>
              </w:rPr>
            </w:pPr>
            <w:r>
              <w:rPr>
                <w:rFonts w:ascii="Times New Roman" w:cs="Times New Roman" w:eastAsia="Times New Roman" w:hAnsi="Times New Roman"/>
                <w:sz w:val="18"/>
                <w:szCs w:val="18"/>
                <w:b w:val="1"/>
                <w:bCs w:val="1"/>
                <w:color w:val="auto"/>
              </w:rPr>
              <w:t>GAAP</w:t>
            </w: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70"/>
              <w:spacing w:after="0" w:line="191" w:lineRule="exact"/>
              <w:rPr>
                <w:sz w:val="20"/>
                <w:szCs w:val="20"/>
                <w:color w:val="auto"/>
              </w:rPr>
            </w:pPr>
            <w:r>
              <w:rPr>
                <w:rFonts w:ascii="Times New Roman" w:cs="Times New Roman" w:eastAsia="Times New Roman" w:hAnsi="Times New Roman"/>
                <w:sz w:val="18"/>
                <w:szCs w:val="18"/>
                <w:b w:val="1"/>
                <w:bCs w:val="1"/>
                <w:color w:val="auto"/>
              </w:rPr>
              <w:t>Economic</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320"/>
              <w:spacing w:after="0" w:line="191" w:lineRule="exact"/>
              <w:rPr>
                <w:sz w:val="20"/>
                <w:szCs w:val="20"/>
                <w:color w:val="auto"/>
              </w:rPr>
            </w:pPr>
            <w:r>
              <w:rPr>
                <w:rFonts w:ascii="Times New Roman" w:cs="Times New Roman" w:eastAsia="Times New Roman" w:hAnsi="Times New Roman"/>
                <w:sz w:val="18"/>
                <w:szCs w:val="18"/>
                <w:b w:val="1"/>
                <w:bCs w:val="1"/>
                <w:color w:val="auto"/>
                <w:w w:val="97"/>
              </w:rPr>
              <w:t>Debt</w:t>
            </w: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300"/>
              <w:spacing w:after="0" w:line="191" w:lineRule="exact"/>
              <w:rPr>
                <w:sz w:val="20"/>
                <w:szCs w:val="20"/>
                <w:color w:val="auto"/>
              </w:rPr>
            </w:pPr>
            <w:r>
              <w:rPr>
                <w:rFonts w:ascii="Times New Roman" w:cs="Times New Roman" w:eastAsia="Times New Roman" w:hAnsi="Times New Roman"/>
                <w:sz w:val="18"/>
                <w:szCs w:val="18"/>
                <w:b w:val="1"/>
                <w:bCs w:val="1"/>
                <w:color w:val="auto"/>
              </w:rPr>
              <w:t>GAAP</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10"/>
              <w:spacing w:after="0" w:line="191" w:lineRule="exact"/>
              <w:rPr>
                <w:sz w:val="20"/>
                <w:szCs w:val="20"/>
                <w:color w:val="auto"/>
              </w:rPr>
            </w:pPr>
            <w:r>
              <w:rPr>
                <w:rFonts w:ascii="Times New Roman" w:cs="Times New Roman" w:eastAsia="Times New Roman" w:hAnsi="Times New Roman"/>
                <w:sz w:val="18"/>
                <w:szCs w:val="18"/>
                <w:b w:val="1"/>
                <w:bCs w:val="1"/>
                <w:color w:val="auto"/>
                <w:w w:val="99"/>
              </w:rPr>
              <w:t>Economic</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0"/>
        </w:trPr>
        <w:tc>
          <w:tcPr>
            <w:tcW w:w="4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Basis</w:t>
            </w: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Basis</w:t>
            </w:r>
            <w:r>
              <w:rPr>
                <w:rFonts w:ascii="Times New Roman" w:cs="Times New Roman" w:eastAsia="Times New Roman" w:hAnsi="Times New Roman"/>
                <w:sz w:val="9"/>
                <w:szCs w:val="9"/>
                <w:b w:val="1"/>
                <w:bCs w:val="1"/>
                <w:color w:val="auto"/>
              </w:rPr>
              <w:t>(1)</w:t>
            </w: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Basis</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Basis(4)</w:t>
            </w:r>
          </w:p>
        </w:tc>
      </w:tr>
      <w:tr>
        <w:trPr>
          <w:trHeight w:val="182"/>
        </w:trPr>
        <w:tc>
          <w:tcPr>
            <w:tcW w:w="432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429</w:t>
            </w:r>
          </w:p>
        </w:tc>
        <w:tc>
          <w:tcPr>
            <w:tcW w:w="22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96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538</w:t>
            </w:r>
          </w:p>
        </w:tc>
        <w:tc>
          <w:tcPr>
            <w:tcW w:w="22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514</w:t>
            </w:r>
          </w:p>
        </w:tc>
        <w:tc>
          <w:tcPr>
            <w:tcW w:w="22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20" w:type="dxa"/>
            <w:vAlign w:val="bottom"/>
            <w:tcBorders>
              <w:top w:val="single" w:sz="8" w:color="auto"/>
              <w:bottom w:val="single" w:sz="8" w:color="DDDDDD"/>
            </w:tcBorders>
            <w:shd w:val="clear" w:color="auto" w:fill="DDDDDD"/>
          </w:tcPr>
          <w:p>
            <w:pPr>
              <w:spacing w:after="0"/>
              <w:rPr>
                <w:sz w:val="15"/>
                <w:szCs w:val="15"/>
                <w:color w:val="auto"/>
              </w:rPr>
            </w:pPr>
          </w:p>
        </w:tc>
      </w:tr>
      <w:tr>
        <w:trPr>
          <w:trHeight w:val="202"/>
        </w:trPr>
        <w:tc>
          <w:tcPr>
            <w:tcW w:w="4440" w:type="dxa"/>
            <w:vAlign w:val="bottom"/>
            <w:tcBorders>
              <w:bottom w:val="single" w:sz="8" w:color="DDDDDD"/>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September 30, 2025</w:t>
            </w: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377</w:t>
            </w:r>
          </w:p>
        </w:tc>
        <w:tc>
          <w:tcPr>
            <w:tcW w:w="2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6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485</w:t>
            </w:r>
          </w:p>
        </w:tc>
        <w:tc>
          <w:tcPr>
            <w:tcW w:w="2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544</w:t>
            </w:r>
          </w:p>
        </w:tc>
        <w:tc>
          <w:tcPr>
            <w:tcW w:w="2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(167 )</w:t>
            </w: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(59 )</w:t>
            </w:r>
          </w:p>
        </w:tc>
        <w:tc>
          <w:tcPr>
            <w:tcW w:w="20" w:type="dxa"/>
            <w:vAlign w:val="bottom"/>
            <w:tcBorders>
              <w:bottom w:val="single" w:sz="8" w:color="DDDDDD"/>
            </w:tcBorders>
          </w:tcPr>
          <w:p>
            <w:pPr>
              <w:spacing w:after="0"/>
              <w:rPr>
                <w:sz w:val="17"/>
                <w:szCs w:val="17"/>
                <w:color w:val="auto"/>
              </w:rPr>
            </w:pPr>
          </w:p>
        </w:tc>
      </w:tr>
      <w:tr>
        <w:trPr>
          <w:trHeight w:val="192"/>
        </w:trPr>
        <w:tc>
          <w:tcPr>
            <w:tcW w:w="4320" w:type="dxa"/>
            <w:vAlign w:val="bottom"/>
            <w:tcBorders>
              <w:bottom w:val="single" w:sz="8" w:color="DDDDDD"/>
            </w:tcBorders>
            <w:shd w:val="clear" w:color="auto" w:fill="DDDDDD"/>
          </w:tcPr>
          <w:p>
            <w:pPr>
              <w:spacing w:after="0" w:line="193" w:lineRule="exact"/>
              <w:rPr>
                <w:sz w:val="20"/>
                <w:szCs w:val="20"/>
                <w:color w:val="auto"/>
              </w:rPr>
            </w:pPr>
            <w:r>
              <w:rPr>
                <w:rFonts w:ascii="Times New Roman" w:cs="Times New Roman" w:eastAsia="Times New Roman" w:hAnsi="Times New Roman"/>
                <w:sz w:val="18"/>
                <w:szCs w:val="18"/>
                <w:color w:val="auto"/>
              </w:rPr>
              <w:t>June 30, 2025</w:t>
            </w: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391</w:t>
            </w:r>
          </w:p>
        </w:tc>
        <w:tc>
          <w:tcPr>
            <w:tcW w:w="2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6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503</w:t>
            </w:r>
          </w:p>
        </w:tc>
        <w:tc>
          <w:tcPr>
            <w:tcW w:w="2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540</w:t>
            </w:r>
          </w:p>
        </w:tc>
        <w:tc>
          <w:tcPr>
            <w:tcW w:w="2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0" w:type="dxa"/>
            <w:vAlign w:val="bottom"/>
            <w:tcBorders>
              <w:bottom w:val="single" w:sz="8" w:color="DDDDDD"/>
            </w:tcBorders>
            <w:shd w:val="clear" w:color="auto" w:fill="DDDDDD"/>
          </w:tcPr>
          <w:p>
            <w:pPr>
              <w:spacing w:after="0"/>
              <w:rPr>
                <w:sz w:val="16"/>
                <w:szCs w:val="16"/>
                <w:color w:val="auto"/>
              </w:rPr>
            </w:pPr>
          </w:p>
        </w:tc>
      </w:tr>
      <w:tr>
        <w:trPr>
          <w:trHeight w:val="202"/>
        </w:trPr>
        <w:tc>
          <w:tcPr>
            <w:tcW w:w="4440" w:type="dxa"/>
            <w:vAlign w:val="bottom"/>
            <w:tcBorders>
              <w:bottom w:val="single" w:sz="8" w:color="DDDDDD"/>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March 31, 2025</w:t>
            </w: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435</w:t>
            </w:r>
          </w:p>
        </w:tc>
        <w:tc>
          <w:tcPr>
            <w:tcW w:w="2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6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541</w:t>
            </w:r>
          </w:p>
        </w:tc>
        <w:tc>
          <w:tcPr>
            <w:tcW w:w="2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538</w:t>
            </w:r>
          </w:p>
        </w:tc>
        <w:tc>
          <w:tcPr>
            <w:tcW w:w="2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(103 )</w:t>
            </w: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r>
      <w:tr>
        <w:trPr>
          <w:trHeight w:val="191"/>
        </w:trPr>
        <w:tc>
          <w:tcPr>
            <w:tcW w:w="432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271</w:t>
            </w:r>
          </w:p>
        </w:tc>
        <w:tc>
          <w:tcPr>
            <w:tcW w:w="2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272</w:t>
            </w:r>
          </w:p>
        </w:tc>
        <w:tc>
          <w:tcPr>
            <w:tcW w:w="2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581</w:t>
            </w:r>
          </w:p>
        </w:tc>
        <w:tc>
          <w:tcPr>
            <w:tcW w:w="2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0" w:type="dxa"/>
            <w:vAlign w:val="bottom"/>
            <w:tcBorders>
              <w:bottom w:val="single" w:sz="8" w:color="DDDDDD"/>
            </w:tcBorders>
            <w:shd w:val="clear" w:color="auto" w:fill="DDDDDD"/>
          </w:tcPr>
          <w:p>
            <w:pPr>
              <w:spacing w:after="0"/>
              <w:rPr>
                <w:sz w:val="16"/>
                <w:szCs w:val="16"/>
                <w:color w:val="auto"/>
              </w:rPr>
            </w:pPr>
          </w:p>
        </w:tc>
      </w:tr>
      <w:tr>
        <w:trPr>
          <w:trHeight w:val="202"/>
        </w:trPr>
        <w:tc>
          <w:tcPr>
            <w:tcW w:w="4440" w:type="dxa"/>
            <w:vAlign w:val="bottom"/>
            <w:tcBorders>
              <w:bottom w:val="single" w:sz="8" w:color="DDDDDD"/>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September 30, 2024</w:t>
            </w: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112</w:t>
            </w:r>
          </w:p>
        </w:tc>
        <w:tc>
          <w:tcPr>
            <w:tcW w:w="2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6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76</w:t>
            </w:r>
          </w:p>
        </w:tc>
        <w:tc>
          <w:tcPr>
            <w:tcW w:w="2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607</w:t>
            </w:r>
          </w:p>
        </w:tc>
        <w:tc>
          <w:tcPr>
            <w:tcW w:w="2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(495 )</w:t>
            </w: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(531 )</w:t>
            </w:r>
          </w:p>
        </w:tc>
        <w:tc>
          <w:tcPr>
            <w:tcW w:w="20" w:type="dxa"/>
            <w:vAlign w:val="bottom"/>
            <w:tcBorders>
              <w:bottom w:val="single" w:sz="8" w:color="DDDDDD"/>
            </w:tcBorders>
          </w:tcPr>
          <w:p>
            <w:pPr>
              <w:spacing w:after="0"/>
              <w:rPr>
                <w:sz w:val="17"/>
                <w:szCs w:val="17"/>
                <w:color w:val="auto"/>
              </w:rPr>
            </w:pPr>
          </w:p>
        </w:tc>
      </w:tr>
      <w:tr>
        <w:trPr>
          <w:trHeight w:val="192"/>
        </w:trPr>
        <w:tc>
          <w:tcPr>
            <w:tcW w:w="4320" w:type="dxa"/>
            <w:vAlign w:val="bottom"/>
            <w:tcBorders>
              <w:bottom w:val="single" w:sz="8" w:color="DDDDDD"/>
            </w:tcBorders>
            <w:shd w:val="clear" w:color="auto" w:fill="DDDDDD"/>
          </w:tcPr>
          <w:p>
            <w:pPr>
              <w:spacing w:after="0" w:line="193" w:lineRule="exact"/>
              <w:rPr>
                <w:sz w:val="20"/>
                <w:szCs w:val="20"/>
                <w:color w:val="auto"/>
              </w:rPr>
            </w:pPr>
            <w:r>
              <w:rPr>
                <w:rFonts w:ascii="Times New Roman" w:cs="Times New Roman" w:eastAsia="Times New Roman" w:hAnsi="Times New Roman"/>
                <w:sz w:val="18"/>
                <w:szCs w:val="18"/>
                <w:color w:val="auto"/>
              </w:rPr>
              <w:t>June 30, 2024</w:t>
            </w: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130</w:t>
            </w:r>
          </w:p>
        </w:tc>
        <w:tc>
          <w:tcPr>
            <w:tcW w:w="2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6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174</w:t>
            </w:r>
          </w:p>
        </w:tc>
        <w:tc>
          <w:tcPr>
            <w:tcW w:w="2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605</w:t>
            </w:r>
          </w:p>
        </w:tc>
        <w:tc>
          <w:tcPr>
            <w:tcW w:w="2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(475</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0" w:type="dxa"/>
            <w:vAlign w:val="bottom"/>
            <w:tcBorders>
              <w:bottom w:val="single" w:sz="8" w:color="DDDDDD"/>
            </w:tcBorders>
            <w:shd w:val="clear" w:color="auto" w:fill="DDDDDD"/>
          </w:tcPr>
          <w:p>
            <w:pPr>
              <w:spacing w:after="0"/>
              <w:rPr>
                <w:sz w:val="16"/>
                <w:szCs w:val="16"/>
                <w:color w:val="auto"/>
              </w:rPr>
            </w:pPr>
          </w:p>
        </w:tc>
      </w:tr>
      <w:tr>
        <w:trPr>
          <w:trHeight w:val="229"/>
        </w:trPr>
        <w:tc>
          <w:tcPr>
            <w:tcW w:w="4440" w:type="dxa"/>
            <w:vAlign w:val="bottom"/>
            <w:tcBorders>
              <w:bottom w:val="single" w:sz="8" w:color="auto"/>
            </w:tcBorders>
            <w:gridSpan w:val="2"/>
          </w:tcPr>
          <w:p>
            <w:pPr>
              <w:spacing w:after="0" w:line="205" w:lineRule="exact"/>
              <w:rPr>
                <w:sz w:val="20"/>
                <w:szCs w:val="20"/>
                <w:color w:val="auto"/>
              </w:rPr>
            </w:pPr>
            <w:r>
              <w:rPr>
                <w:rFonts w:ascii="Times New Roman" w:cs="Times New Roman" w:eastAsia="Times New Roman" w:hAnsi="Times New Roman"/>
                <w:sz w:val="18"/>
                <w:szCs w:val="18"/>
                <w:color w:val="auto"/>
              </w:rPr>
              <w:t>March 31, 2024</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186</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207</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608</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(422 )</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(401 )</w:t>
            </w:r>
          </w:p>
        </w:tc>
        <w:tc>
          <w:tcPr>
            <w:tcW w:w="20" w:type="dxa"/>
            <w:vAlign w:val="bottom"/>
            <w:tcBorders>
              <w:bottom w:val="single" w:sz="8" w:color="auto"/>
            </w:tcBorders>
          </w:tcPr>
          <w:p>
            <w:pPr>
              <w:spacing w:after="0"/>
              <w:rPr>
                <w:sz w:val="19"/>
                <w:szCs w:val="19"/>
                <w:color w:val="auto"/>
              </w:rPr>
            </w:pPr>
          </w:p>
        </w:tc>
      </w:tr>
      <w:tr>
        <w:trPr>
          <w:trHeight w:val="185"/>
        </w:trPr>
        <w:tc>
          <w:tcPr>
            <w:tcW w:w="4320" w:type="dxa"/>
            <w:vAlign w:val="bottom"/>
            <w:tcBorders>
              <w:top w:val="single" w:sz="8" w:color="DDDDDD"/>
              <w:bottom w:val="single" w:sz="8" w:color="auto"/>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Years Ended</w:t>
            </w:r>
          </w:p>
        </w:tc>
        <w:tc>
          <w:tcPr>
            <w:tcW w:w="12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980" w:type="dxa"/>
            <w:vAlign w:val="bottom"/>
            <w:tcBorders>
              <w:top w:val="single" w:sz="8" w:color="DDDDDD"/>
              <w:bottom w:val="single" w:sz="8" w:color="auto"/>
            </w:tcBorders>
            <w:shd w:val="clear" w:color="auto" w:fill="DDDDDD"/>
          </w:tcPr>
          <w:p>
            <w:pPr>
              <w:spacing w:after="0"/>
              <w:rPr>
                <w:sz w:val="16"/>
                <w:szCs w:val="16"/>
                <w:color w:val="auto"/>
              </w:rPr>
            </w:pPr>
          </w:p>
        </w:tc>
        <w:tc>
          <w:tcPr>
            <w:tcW w:w="22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960" w:type="dxa"/>
            <w:vAlign w:val="bottom"/>
            <w:tcBorders>
              <w:top w:val="single" w:sz="8" w:color="DDDDDD"/>
              <w:bottom w:val="single" w:sz="8" w:color="auto"/>
            </w:tcBorders>
            <w:shd w:val="clear" w:color="auto" w:fill="DDDDDD"/>
          </w:tcPr>
          <w:p>
            <w:pPr>
              <w:spacing w:after="0"/>
              <w:rPr>
                <w:sz w:val="16"/>
                <w:szCs w:val="16"/>
                <w:color w:val="auto"/>
              </w:rPr>
            </w:pPr>
          </w:p>
        </w:tc>
        <w:tc>
          <w:tcPr>
            <w:tcW w:w="22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980" w:type="dxa"/>
            <w:vAlign w:val="bottom"/>
            <w:tcBorders>
              <w:top w:val="single" w:sz="8" w:color="DDDDDD"/>
              <w:bottom w:val="single" w:sz="8" w:color="auto"/>
            </w:tcBorders>
            <w:shd w:val="clear" w:color="auto" w:fill="DDDDDD"/>
          </w:tcPr>
          <w:p>
            <w:pPr>
              <w:spacing w:after="0"/>
              <w:rPr>
                <w:sz w:val="16"/>
                <w:szCs w:val="16"/>
                <w:color w:val="auto"/>
              </w:rPr>
            </w:pPr>
          </w:p>
        </w:tc>
        <w:tc>
          <w:tcPr>
            <w:tcW w:w="22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98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12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98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20" w:type="dxa"/>
            <w:vAlign w:val="bottom"/>
            <w:tcBorders>
              <w:top w:val="single" w:sz="8" w:color="auto"/>
              <w:bottom w:val="single" w:sz="8" w:color="auto"/>
            </w:tcBorders>
            <w:shd w:val="clear" w:color="auto" w:fill="DDDDDD"/>
          </w:tcPr>
          <w:p>
            <w:pPr>
              <w:spacing w:after="0"/>
              <w:rPr>
                <w:sz w:val="16"/>
                <w:szCs w:val="16"/>
                <w:color w:val="auto"/>
              </w:rPr>
            </w:pPr>
          </w:p>
        </w:tc>
      </w:tr>
      <w:tr>
        <w:trPr>
          <w:trHeight w:val="212"/>
        </w:trPr>
        <w:tc>
          <w:tcPr>
            <w:tcW w:w="4440" w:type="dxa"/>
            <w:vAlign w:val="bottom"/>
            <w:tcBorders>
              <w:bottom w:val="single" w:sz="8" w:color="DDDDDD"/>
            </w:tcBorders>
            <w:gridSpan w:val="2"/>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32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32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220" w:type="dxa"/>
            <w:vAlign w:val="bottom"/>
            <w:tcBorders>
              <w:bottom w:val="single" w:sz="8" w:color="DDDDDD"/>
            </w:tcBorders>
          </w:tcPr>
          <w:p>
            <w:pPr>
              <w:spacing w:after="0"/>
              <w:rPr>
                <w:sz w:val="18"/>
                <w:szCs w:val="18"/>
                <w:color w:val="auto"/>
              </w:rPr>
            </w:pPr>
          </w:p>
        </w:tc>
        <w:tc>
          <w:tcPr>
            <w:tcW w:w="10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(504 )</w:t>
            </w:r>
          </w:p>
        </w:tc>
        <w:tc>
          <w:tcPr>
            <w:tcW w:w="22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20" w:type="dxa"/>
            <w:vAlign w:val="bottom"/>
            <w:tcBorders>
              <w:bottom w:val="single" w:sz="8" w:color="DDDDDD"/>
            </w:tcBorders>
          </w:tcPr>
          <w:p>
            <w:pPr>
              <w:spacing w:after="0"/>
              <w:rPr>
                <w:sz w:val="18"/>
                <w:szCs w:val="18"/>
                <w:color w:val="auto"/>
              </w:rPr>
            </w:pPr>
          </w:p>
        </w:tc>
      </w:tr>
      <w:tr>
        <w:trPr>
          <w:trHeight w:val="197"/>
        </w:trPr>
        <w:tc>
          <w:tcPr>
            <w:tcW w:w="4320" w:type="dxa"/>
            <w:vAlign w:val="bottom"/>
            <w:tcBorders>
              <w:bottom w:val="single" w:sz="8" w:color="auto"/>
            </w:tcBorders>
            <w:shd w:val="clear" w:color="auto" w:fill="DDDDDD"/>
          </w:tcPr>
          <w:p>
            <w:pPr>
              <w:spacing w:after="0" w:line="193" w:lineRule="exact"/>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699</w:t>
            </w:r>
          </w:p>
        </w:tc>
        <w:tc>
          <w:tcPr>
            <w:tcW w:w="22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960" w:type="dxa"/>
            <w:vAlign w:val="bottom"/>
            <w:tcBorders>
              <w:bottom w:val="single" w:sz="8" w:color="auto"/>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729</w:t>
            </w:r>
          </w:p>
        </w:tc>
        <w:tc>
          <w:tcPr>
            <w:tcW w:w="22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2,401</w:t>
            </w:r>
          </w:p>
        </w:tc>
        <w:tc>
          <w:tcPr>
            <w:tcW w:w="22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(1,702</w:t>
            </w: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(1,672</w:t>
            </w: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0" w:type="dxa"/>
            <w:vAlign w:val="bottom"/>
            <w:tcBorders>
              <w:bottom w:val="single" w:sz="8" w:color="auto"/>
            </w:tcBorders>
            <w:shd w:val="clear" w:color="auto" w:fill="DDDDDD"/>
          </w:tcPr>
          <w:p>
            <w:pPr>
              <w:spacing w:after="0"/>
              <w:rPr>
                <w:sz w:val="17"/>
                <w:szCs w:val="1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-1128395</wp:posOffset>
                </wp:positionV>
                <wp:extent cx="685800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88.8499pt" to="540.2pt,-88.8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-283845</wp:posOffset>
                </wp:positionV>
                <wp:extent cx="685800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22.3499pt" to="540.2pt,-22.3499pt" o:allowincell="f" strokecolor="#FFFFFF" strokeweight="0.14pt"/>
            </w:pict>
          </mc:Fallback>
        </mc:AlternateContent>
      </w:r>
    </w:p>
    <w:p>
      <w:pPr>
        <w:spacing w:after="0" w:line="197" w:lineRule="exact"/>
        <w:rPr>
          <w:sz w:val="20"/>
          <w:szCs w:val="20"/>
          <w:color w:val="auto"/>
        </w:rPr>
      </w:pPr>
    </w:p>
    <w:p>
      <w:pPr>
        <w:ind w:left="360" w:hanging="350"/>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adding the effect of derivative instrument hedges attributed to the period presented to GAAP net portfolio interest income.</w:t>
      </w:r>
    </w:p>
    <w:p>
      <w:pPr>
        <w:spacing w:after="0" w:line="33" w:lineRule="exact"/>
        <w:rPr>
          <w:rFonts w:ascii="Times New Roman" w:cs="Times New Roman" w:eastAsia="Times New Roman" w:hAnsi="Times New Roman"/>
          <w:sz w:val="18"/>
          <w:szCs w:val="18"/>
          <w:color w:val="auto"/>
        </w:rPr>
      </w:pPr>
    </w:p>
    <w:p>
      <w:pPr>
        <w:ind w:left="360" w:hanging="350"/>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effect of derivative instrument hedges for only the period presented.</w:t>
      </w:r>
    </w:p>
    <w:p>
      <w:pPr>
        <w:spacing w:after="0" w:line="10" w:lineRule="exact"/>
        <w:rPr>
          <w:rFonts w:ascii="Times New Roman" w:cs="Times New Roman" w:eastAsia="Times New Roman" w:hAnsi="Times New Roman"/>
          <w:sz w:val="18"/>
          <w:szCs w:val="18"/>
          <w:color w:val="auto"/>
        </w:rPr>
      </w:pPr>
    </w:p>
    <w:p>
      <w:pPr>
        <w:ind w:left="380" w:hanging="370"/>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adding the effect of derivative instrument hedges attributed to the period presented to GAAP net interest income.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Information</w:t>
      </w:r>
    </w:p>
    <w:p>
      <w:pPr>
        <w:spacing w:after="0" w:line="235" w:lineRule="exact"/>
        <w:rPr>
          <w:sz w:val="20"/>
          <w:szCs w:val="20"/>
          <w:color w:val="auto"/>
        </w:rPr>
      </w:pPr>
    </w:p>
    <w:p>
      <w:pPr>
        <w:ind w:right="80" w:firstLine="500"/>
        <w:spacing w:after="0" w:line="258" w:lineRule="auto"/>
        <w:rPr>
          <w:sz w:val="20"/>
          <w:szCs w:val="20"/>
          <w:color w:val="auto"/>
        </w:rPr>
      </w:pPr>
      <w:r>
        <w:rPr>
          <w:rFonts w:ascii="Times New Roman" w:cs="Times New Roman" w:eastAsia="Times New Roman" w:hAnsi="Times New Roman"/>
          <w:sz w:val="20"/>
          <w:szCs w:val="20"/>
          <w:color w:val="auto"/>
        </w:rPr>
        <w:t>We have two operating segments: (a) the asset management segment, which includes the investment advisory services provided by Bimini Advisors to Orchid and Royal Palm; and (b) the investment portfolio segment, which includes the investment activities conducted by Royal Palm. Segment information for the years ended December 31, 2025 and 2024 is as follows: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23495</wp:posOffset>
                </wp:positionV>
                <wp:extent cx="685800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85pt" to="540.2pt,1.85pt" o:allowincell="f" strokecolor="#FFFFFF" strokeweight="0.1399pt"/>
            </w:pict>
          </mc:Fallback>
        </mc:AlternateConten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tcPr>
          <w:p>
            <w:pPr>
              <w:jc w:val="center"/>
              <w:ind w:right="120"/>
              <w:spacing w:after="0" w:line="182" w:lineRule="exact"/>
              <w:rPr>
                <w:sz w:val="20"/>
                <w:szCs w:val="20"/>
                <w:color w:val="auto"/>
              </w:rPr>
            </w:pPr>
            <w:r>
              <w:rPr>
                <w:rFonts w:ascii="Times New Roman" w:cs="Times New Roman" w:eastAsia="Times New Roman" w:hAnsi="Times New Roman"/>
                <w:sz w:val="18"/>
                <w:szCs w:val="18"/>
                <w:b w:val="1"/>
                <w:bCs w:val="1"/>
                <w:color w:val="auto"/>
                <w:w w:val="97"/>
              </w:rPr>
              <w:t>Asset</w:t>
            </w: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jc w:val="right"/>
              <w:ind w:right="120"/>
              <w:spacing w:after="0" w:line="182" w:lineRule="exact"/>
              <w:rPr>
                <w:sz w:val="20"/>
                <w:szCs w:val="20"/>
                <w:color w:val="auto"/>
              </w:rPr>
            </w:pPr>
            <w:r>
              <w:rPr>
                <w:rFonts w:ascii="Times New Roman" w:cs="Times New Roman" w:eastAsia="Times New Roman" w:hAnsi="Times New Roman"/>
                <w:sz w:val="18"/>
                <w:szCs w:val="18"/>
                <w:b w:val="1"/>
                <w:bCs w:val="1"/>
                <w:color w:val="auto"/>
                <w:w w:val="97"/>
              </w:rPr>
              <w:t>Investment</w:t>
            </w: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r>
      <w:tr>
        <w:trPr>
          <w:trHeight w:val="255"/>
        </w:trPr>
        <w:tc>
          <w:tcPr>
            <w:tcW w:w="4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Management</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Portfolio</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5"/>
        </w:trPr>
        <w:tc>
          <w:tcPr>
            <w:tcW w:w="4320" w:type="dxa"/>
            <w:vAlign w:val="bottom"/>
            <w:tcBorders>
              <w:bottom w:val="single" w:sz="8" w:color="auto"/>
            </w:tcBorders>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70" w:type="dxa"/>
            <w:vAlign w:val="bottom"/>
            <w:tcBorders>
              <w:bottom w:val="single" w:sz="8" w:color="auto"/>
            </w:tcBorders>
          </w:tcPr>
          <w:p>
            <w:pPr>
              <w:spacing w:after="0"/>
              <w:rPr>
                <w:sz w:val="18"/>
                <w:szCs w:val="18"/>
                <w:color w:val="auto"/>
              </w:rPr>
            </w:pPr>
          </w:p>
        </w:tc>
        <w:tc>
          <w:tcPr>
            <w:tcW w:w="9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182"/>
        </w:trPr>
        <w:tc>
          <w:tcPr>
            <w:tcW w:w="432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rPr>
              <w:t>Advisory services, external customers</w:t>
            </w: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16,575</w:t>
            </w: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7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90" w:type="dxa"/>
            <w:vAlign w:val="bottom"/>
            <w:tcBorders>
              <w:top w:val="single" w:sz="8" w:color="DDDDDD"/>
              <w:bottom w:val="single" w:sz="8" w:color="DDDDDD"/>
            </w:tcBorders>
            <w:shd w:val="clear" w:color="auto" w:fill="DDDDDD"/>
          </w:tcPr>
          <w:p>
            <w:pPr>
              <w:spacing w:after="0"/>
              <w:rPr>
                <w:sz w:val="15"/>
                <w:szCs w:val="15"/>
                <w:color w:val="auto"/>
              </w:rPr>
            </w:pP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DDDDDD"/>
              <w:bottom w:val="single" w:sz="8" w:color="DDDDDD"/>
            </w:tcBorders>
            <w:shd w:val="clear" w:color="auto" w:fill="DDDDDD"/>
          </w:tcPr>
          <w:p>
            <w:pPr>
              <w:spacing w:after="0"/>
              <w:rPr>
                <w:sz w:val="15"/>
                <w:szCs w:val="15"/>
                <w:color w:val="auto"/>
              </w:rPr>
            </w:pP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16,575</w:t>
            </w: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r>
      <w:tr>
        <w:trPr>
          <w:trHeight w:val="202"/>
        </w:trPr>
        <w:tc>
          <w:tcPr>
            <w:tcW w:w="4320" w:type="dxa"/>
            <w:vAlign w:val="bottom"/>
            <w:tcBorders>
              <w:bottom w:val="single" w:sz="8" w:color="DDDDDD"/>
            </w:tcBorders>
          </w:tcPr>
          <w:p>
            <w:pPr>
              <w:spacing w:after="0" w:line="202" w:lineRule="exact"/>
              <w:rPr>
                <w:sz w:val="20"/>
                <w:szCs w:val="20"/>
                <w:color w:val="auto"/>
              </w:rPr>
            </w:pPr>
            <w:r>
              <w:rPr>
                <w:rFonts w:ascii="Times New Roman" w:cs="Times New Roman" w:eastAsia="Times New Roman" w:hAnsi="Times New Roman"/>
                <w:sz w:val="18"/>
                <w:szCs w:val="18"/>
                <w:color w:val="auto"/>
              </w:rPr>
              <w:t>Advisory services, other operating segments</w:t>
            </w:r>
            <w:r>
              <w:rPr>
                <w:rFonts w:ascii="Times New Roman" w:cs="Times New Roman" w:eastAsia="Times New Roman" w:hAnsi="Times New Roman"/>
                <w:sz w:val="9"/>
                <w:szCs w:val="9"/>
                <w:color w:val="auto"/>
              </w:rPr>
              <w:t>(1)</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7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9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(189 )</w:t>
            </w:r>
          </w:p>
        </w:tc>
        <w:tc>
          <w:tcPr>
            <w:tcW w:w="1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DDDDD"/>
            </w:tcBorders>
          </w:tcPr>
          <w:p>
            <w:pPr>
              <w:spacing w:after="0"/>
              <w:rPr>
                <w:sz w:val="17"/>
                <w:szCs w:val="17"/>
                <w:color w:val="auto"/>
              </w:rPr>
            </w:pPr>
          </w:p>
        </w:tc>
      </w:tr>
      <w:tr>
        <w:trPr>
          <w:trHeight w:val="192"/>
        </w:trPr>
        <w:tc>
          <w:tcPr>
            <w:tcW w:w="432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Interest and dividend income</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7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7,129</w:t>
            </w:r>
          </w:p>
        </w:tc>
        <w:tc>
          <w:tcPr>
            <w:tcW w:w="9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7,129</w:t>
            </w:r>
          </w:p>
        </w:tc>
        <w:tc>
          <w:tcPr>
            <w:tcW w:w="100" w:type="dxa"/>
            <w:vAlign w:val="bottom"/>
            <w:tcBorders>
              <w:bottom w:val="single" w:sz="8" w:color="DDDDDD"/>
            </w:tcBorders>
            <w:shd w:val="clear" w:color="auto" w:fill="DDDDDD"/>
          </w:tcPr>
          <w:p>
            <w:pPr>
              <w:spacing w:after="0"/>
              <w:rPr>
                <w:sz w:val="16"/>
                <w:szCs w:val="16"/>
                <w:color w:val="auto"/>
              </w:rPr>
            </w:pPr>
          </w:p>
        </w:tc>
      </w:tr>
      <w:tr>
        <w:trPr>
          <w:trHeight w:val="230"/>
        </w:trPr>
        <w:tc>
          <w:tcPr>
            <w:tcW w:w="4320" w:type="dxa"/>
            <w:vAlign w:val="bottom"/>
            <w:tcBorders>
              <w:bottom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(4,677 )</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auto"/>
              </w:rPr>
              <w:t xml:space="preserve">(2,136 ) </w:t>
            </w:r>
            <w:r>
              <w:rPr>
                <w:rFonts w:ascii="Times New Roman" w:cs="Times New Roman" w:eastAsia="Times New Roman" w:hAnsi="Times New Roman"/>
                <w:sz w:val="19"/>
                <w:szCs w:val="19"/>
                <w:color w:val="auto"/>
                <w:vertAlign w:val="superscript"/>
              </w:rPr>
              <w:t>(2)</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(6,813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82"/>
        </w:trPr>
        <w:tc>
          <w:tcPr>
            <w:tcW w:w="432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rPr>
              <w:t>Net revenues</w:t>
            </w: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16,764</w:t>
            </w: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97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2,452</w:t>
            </w:r>
          </w:p>
        </w:tc>
        <w:tc>
          <w:tcPr>
            <w:tcW w:w="90" w:type="dxa"/>
            <w:vAlign w:val="bottom"/>
            <w:tcBorders>
              <w:top w:val="single" w:sz="8" w:color="DDDDDD"/>
              <w:bottom w:val="single" w:sz="8" w:color="DDDDDD"/>
            </w:tcBorders>
            <w:shd w:val="clear" w:color="auto" w:fill="DDDDDD"/>
          </w:tcPr>
          <w:p>
            <w:pPr>
              <w:spacing w:after="0"/>
              <w:rPr>
                <w:sz w:val="15"/>
                <w:szCs w:val="15"/>
                <w:color w:val="auto"/>
              </w:rPr>
            </w:pP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(2,136</w:t>
            </w:r>
          </w:p>
        </w:tc>
        <w:tc>
          <w:tcPr>
            <w:tcW w:w="6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80" w:type="dxa"/>
            <w:vAlign w:val="bottom"/>
            <w:tcBorders>
              <w:top w:val="single" w:sz="8" w:color="DDDDDD"/>
              <w:bottom w:val="single" w:sz="8" w:color="DDDDDD"/>
            </w:tcBorders>
            <w:shd w:val="clear" w:color="auto" w:fill="DDDDDD"/>
          </w:tcPr>
          <w:p>
            <w:pPr>
              <w:spacing w:after="0"/>
              <w:rPr>
                <w:sz w:val="15"/>
                <w:szCs w:val="15"/>
                <w:color w:val="auto"/>
              </w:rPr>
            </w:pP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80" w:type="dxa"/>
            <w:vAlign w:val="bottom"/>
            <w:tcBorders>
              <w:top w:val="single" w:sz="8" w:color="DDDDDD"/>
              <w:bottom w:val="single" w:sz="8" w:color="DDDDDD"/>
            </w:tcBorders>
            <w:shd w:val="clear" w:color="auto" w:fill="DDDDDD"/>
          </w:tcPr>
          <w:p>
            <w:pPr>
              <w:spacing w:after="0"/>
              <w:rPr>
                <w:sz w:val="15"/>
                <w:szCs w:val="15"/>
                <w:color w:val="auto"/>
              </w:rPr>
            </w:pP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16,891</w:t>
            </w: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r>
      <w:tr>
        <w:trPr>
          <w:trHeight w:val="202"/>
        </w:trPr>
        <w:tc>
          <w:tcPr>
            <w:tcW w:w="4320" w:type="dxa"/>
            <w:vAlign w:val="bottom"/>
            <w:tcBorders>
              <w:bottom w:val="single" w:sz="8" w:color="DDDDDD"/>
            </w:tcBorders>
          </w:tcPr>
          <w:p>
            <w:pPr>
              <w:spacing w:after="0" w:line="202" w:lineRule="exact"/>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7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205</w:t>
            </w:r>
          </w:p>
        </w:tc>
        <w:tc>
          <w:tcPr>
            <w:tcW w:w="9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DDDDDD"/>
            </w:tcBorders>
          </w:tcPr>
          <w:p>
            <w:pPr>
              <w:spacing w:after="0"/>
              <w:rPr>
                <w:sz w:val="17"/>
                <w:szCs w:val="17"/>
                <w:color w:val="auto"/>
              </w:rPr>
            </w:pPr>
          </w:p>
        </w:tc>
      </w:tr>
      <w:tr>
        <w:trPr>
          <w:trHeight w:val="192"/>
        </w:trPr>
        <w:tc>
          <w:tcPr>
            <w:tcW w:w="4320" w:type="dxa"/>
            <w:vAlign w:val="bottom"/>
            <w:tcBorders>
              <w:bottom w:val="single" w:sz="8" w:color="DDDDDD"/>
            </w:tcBorders>
            <w:shd w:val="clear" w:color="auto" w:fill="DDDDDD"/>
          </w:tcPr>
          <w:p>
            <w:pPr>
              <w:spacing w:after="0" w:line="193"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9"/>
                <w:szCs w:val="9"/>
                <w:color w:val="auto"/>
              </w:rPr>
              <w:t>(3)</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(8,778</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7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(3,825</w:t>
            </w:r>
          </w:p>
        </w:tc>
        <w:tc>
          <w:tcPr>
            <w:tcW w:w="9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(12,603</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29"/>
        </w:trPr>
        <w:tc>
          <w:tcPr>
            <w:tcW w:w="4320" w:type="dxa"/>
            <w:vAlign w:val="bottom"/>
            <w:tcBorders>
              <w:bottom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Intercompany expenses</w:t>
            </w:r>
            <w:r>
              <w:rPr>
                <w:rFonts w:ascii="Times New Roman" w:cs="Times New Roman" w:eastAsia="Times New Roman" w:hAnsi="Times New Roman"/>
                <w:sz w:val="9"/>
                <w:szCs w:val="9"/>
                <w:color w:val="auto"/>
              </w:rPr>
              <w:t>(1)</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(189 )</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r>
      <w:tr>
        <w:trPr>
          <w:trHeight w:val="209"/>
        </w:trPr>
        <w:tc>
          <w:tcPr>
            <w:tcW w:w="4320" w:type="dxa"/>
            <w:vAlign w:val="bottom"/>
            <w:tcBorders>
              <w:top w:val="single" w:sz="8" w:color="DDDDDD"/>
              <w:bottom w:val="single" w:sz="8" w:color="DDDDDD"/>
            </w:tcBorders>
            <w:shd w:val="clear" w:color="auto" w:fill="DDDDDD"/>
          </w:tcPr>
          <w:p>
            <w:pPr>
              <w:spacing w:after="0" w:line="180" w:lineRule="exact"/>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0"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shd w:val="clear" w:color="auto" w:fill="DDDDDD"/>
          </w:tcPr>
          <w:p>
            <w:pPr>
              <w:jc w:val="right"/>
              <w:spacing w:after="0" w:line="180" w:lineRule="exact"/>
              <w:rPr>
                <w:sz w:val="20"/>
                <w:szCs w:val="20"/>
                <w:color w:val="auto"/>
              </w:rPr>
            </w:pPr>
            <w:r>
              <w:rPr>
                <w:rFonts w:ascii="Times New Roman" w:cs="Times New Roman" w:eastAsia="Times New Roman" w:hAnsi="Times New Roman"/>
                <w:sz w:val="18"/>
                <w:szCs w:val="18"/>
                <w:color w:val="auto"/>
              </w:rPr>
              <w:t>7,986</w:t>
            </w: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0"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70" w:type="dxa"/>
            <w:vAlign w:val="bottom"/>
            <w:tcBorders>
              <w:top w:val="single" w:sz="8" w:color="DDDDDD"/>
              <w:bottom w:val="single" w:sz="8" w:color="DDDDDD"/>
            </w:tcBorders>
            <w:shd w:val="clear" w:color="auto" w:fill="DDDDDD"/>
          </w:tcPr>
          <w:p>
            <w:pPr>
              <w:jc w:val="right"/>
              <w:spacing w:after="0" w:line="180" w:lineRule="exact"/>
              <w:rPr>
                <w:sz w:val="20"/>
                <w:szCs w:val="20"/>
                <w:color w:val="auto"/>
              </w:rPr>
            </w:pPr>
            <w:r>
              <w:rPr>
                <w:rFonts w:ascii="Times New Roman" w:cs="Times New Roman" w:eastAsia="Times New Roman" w:hAnsi="Times New Roman"/>
                <w:sz w:val="18"/>
                <w:szCs w:val="18"/>
                <w:color w:val="auto"/>
              </w:rPr>
              <w:t>(1,357</w:t>
            </w:r>
          </w:p>
        </w:tc>
        <w:tc>
          <w:tcPr>
            <w:tcW w:w="90" w:type="dxa"/>
            <w:vAlign w:val="bottom"/>
            <w:tcBorders>
              <w:top w:val="single" w:sz="8" w:color="DDDDDD"/>
              <w:bottom w:val="single" w:sz="8" w:color="DDDDDD"/>
            </w:tcBorders>
            <w:shd w:val="clear" w:color="auto" w:fill="DDDDDD"/>
          </w:tcPr>
          <w:p>
            <w:pPr>
              <w:jc w:val="right"/>
              <w:spacing w:after="0" w:line="180" w:lineRule="exact"/>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0"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shd w:val="clear" w:color="auto" w:fill="DDDDDD"/>
          </w:tcPr>
          <w:p>
            <w:pPr>
              <w:jc w:val="right"/>
              <w:spacing w:after="0" w:line="180" w:lineRule="exact"/>
              <w:rPr>
                <w:sz w:val="20"/>
                <w:szCs w:val="20"/>
                <w:color w:val="auto"/>
              </w:rPr>
            </w:pPr>
            <w:r>
              <w:rPr>
                <w:rFonts w:ascii="Times New Roman" w:cs="Times New Roman" w:eastAsia="Times New Roman" w:hAnsi="Times New Roman"/>
                <w:sz w:val="18"/>
                <w:szCs w:val="18"/>
                <w:color w:val="auto"/>
              </w:rPr>
              <w:t>(2,136</w:t>
            </w:r>
          </w:p>
        </w:tc>
        <w:tc>
          <w:tcPr>
            <w:tcW w:w="60" w:type="dxa"/>
            <w:vAlign w:val="bottom"/>
            <w:tcBorders>
              <w:top w:val="single" w:sz="8" w:color="DDDDDD"/>
              <w:bottom w:val="single" w:sz="8" w:color="DDDDDD"/>
            </w:tcBorders>
            <w:shd w:val="clear" w:color="auto" w:fill="DDDDDD"/>
          </w:tcPr>
          <w:p>
            <w:pPr>
              <w:jc w:val="right"/>
              <w:spacing w:after="0" w:line="180" w:lineRule="exact"/>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top w:val="single" w:sz="8" w:color="DDDDDD"/>
              <w:bottom w:val="single" w:sz="8" w:color="DDDDDD"/>
            </w:tcBorders>
            <w:shd w:val="clear" w:color="auto" w:fill="DDDDDD"/>
          </w:tcPr>
          <w:p>
            <w:pPr>
              <w:spacing w:after="0"/>
              <w:rPr>
                <w:sz w:val="17"/>
                <w:szCs w:val="17"/>
                <w:color w:val="auto"/>
              </w:rPr>
            </w:pPr>
          </w:p>
        </w:tc>
        <w:tc>
          <w:tcPr>
            <w:tcW w:w="120" w:type="dxa"/>
            <w:vAlign w:val="bottom"/>
            <w:tcBorders>
              <w:top w:val="single" w:sz="8" w:color="DDDDDD"/>
              <w:bottom w:val="single" w:sz="8" w:color="DDDDDD"/>
            </w:tcBorders>
            <w:shd w:val="clear" w:color="auto" w:fill="DDDDDD"/>
          </w:tcPr>
          <w:p>
            <w:pPr>
              <w:spacing w:after="0"/>
              <w:rPr>
                <w:sz w:val="17"/>
                <w:szCs w:val="17"/>
                <w:color w:val="auto"/>
              </w:rPr>
            </w:pPr>
          </w:p>
        </w:tc>
        <w:tc>
          <w:tcPr>
            <w:tcW w:w="80" w:type="dxa"/>
            <w:vAlign w:val="bottom"/>
            <w:tcBorders>
              <w:top w:val="single" w:sz="8" w:color="DDDDDD"/>
              <w:bottom w:val="single" w:sz="8" w:color="DDDDDD"/>
            </w:tcBorders>
            <w:shd w:val="clear" w:color="auto" w:fill="DDDDDD"/>
          </w:tcPr>
          <w:p>
            <w:pPr>
              <w:jc w:val="right"/>
              <w:spacing w:after="0" w:line="180"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980" w:type="dxa"/>
            <w:vAlign w:val="bottom"/>
            <w:tcBorders>
              <w:top w:val="single" w:sz="8" w:color="DDDDDD"/>
              <w:bottom w:val="single" w:sz="8" w:color="DDDDDD"/>
            </w:tcBorders>
            <w:shd w:val="clear" w:color="auto" w:fill="DDDDDD"/>
          </w:tcPr>
          <w:p>
            <w:pPr>
              <w:jc w:val="right"/>
              <w:spacing w:after="0" w:line="18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120" w:type="dxa"/>
            <w:vAlign w:val="bottom"/>
            <w:tcBorders>
              <w:top w:val="single" w:sz="8" w:color="DDDDDD"/>
              <w:bottom w:val="single" w:sz="8" w:color="DDDDDD"/>
            </w:tcBorders>
            <w:shd w:val="clear" w:color="auto" w:fill="DDDDDD"/>
          </w:tcPr>
          <w:p>
            <w:pPr>
              <w:spacing w:after="0"/>
              <w:rPr>
                <w:sz w:val="17"/>
                <w:szCs w:val="17"/>
                <w:color w:val="auto"/>
              </w:rPr>
            </w:pPr>
          </w:p>
        </w:tc>
        <w:tc>
          <w:tcPr>
            <w:tcW w:w="80" w:type="dxa"/>
            <w:vAlign w:val="bottom"/>
            <w:tcBorders>
              <w:top w:val="single" w:sz="8" w:color="DDDDDD"/>
              <w:bottom w:val="single" w:sz="8" w:color="DDDDDD"/>
            </w:tcBorders>
            <w:shd w:val="clear" w:color="auto" w:fill="DDDDDD"/>
          </w:tcPr>
          <w:p>
            <w:pPr>
              <w:jc w:val="right"/>
              <w:spacing w:after="0" w:line="180"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980" w:type="dxa"/>
            <w:vAlign w:val="bottom"/>
            <w:tcBorders>
              <w:top w:val="single" w:sz="8" w:color="DDDDDD"/>
              <w:bottom w:val="single" w:sz="8" w:color="DDDDDD"/>
            </w:tcBorders>
            <w:shd w:val="clear" w:color="auto" w:fill="DDDDDD"/>
          </w:tcPr>
          <w:p>
            <w:pPr>
              <w:jc w:val="right"/>
              <w:spacing w:after="0" w:line="180" w:lineRule="exact"/>
              <w:rPr>
                <w:sz w:val="20"/>
                <w:szCs w:val="20"/>
                <w:color w:val="auto"/>
              </w:rPr>
            </w:pPr>
            <w:r>
              <w:rPr>
                <w:rFonts w:ascii="Times New Roman" w:cs="Times New Roman" w:eastAsia="Times New Roman" w:hAnsi="Times New Roman"/>
                <w:sz w:val="18"/>
                <w:szCs w:val="18"/>
                <w:color w:val="auto"/>
              </w:rPr>
              <w:t>4,493</w:t>
            </w: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r>
      <w:tr>
        <w:trPr>
          <w:trHeight w:val="20"/>
        </w:trPr>
        <w:tc>
          <w:tcPr>
            <w:tcW w:w="4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97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216"/>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Year-end assets</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7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120,751</w:t>
            </w:r>
          </w:p>
        </w:tc>
        <w:tc>
          <w:tcPr>
            <w:tcW w:w="9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129,694</w:t>
            </w:r>
          </w:p>
        </w:tc>
        <w:tc>
          <w:tcPr>
            <w:tcW w:w="100" w:type="dxa"/>
            <w:vAlign w:val="bottom"/>
            <w:tcBorders>
              <w:bottom w:val="single" w:sz="8" w:color="auto"/>
            </w:tcBorders>
          </w:tcPr>
          <w:p>
            <w:pPr>
              <w:spacing w:after="0"/>
              <w:rPr>
                <w:sz w:val="18"/>
                <w:szCs w:val="18"/>
                <w:color w:val="auto"/>
              </w:rPr>
            </w:pP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70" w:type="dxa"/>
            <w:vAlign w:val="bottom"/>
            <w:tcBorders>
              <w:bottom w:val="single" w:sz="8" w:color="auto"/>
            </w:tcBorders>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-1612265</wp:posOffset>
                </wp:positionV>
                <wp:extent cx="685800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26.9499pt" to="540.2pt,-126.9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-173990</wp:posOffset>
                </wp:positionV>
                <wp:extent cx="685800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65">
                          <a:solidFill>
                            <a:srgbClr val="FFFFFF"/>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3.6999pt" to="540.2pt,-13.6999pt" o:allowincell="f" strokecolor="#FFFFFF" strokeweight="0.13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800"/>
          </w:cols>
          <w:pgMar w:left="720" w:top="781" w:right="720" w:bottom="135"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9"/>
        </w:trPr>
        <w:tc>
          <w:tcPr>
            <w:tcW w:w="4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Asset</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7"/>
              </w:rPr>
              <w:t>Investment</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Management</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Portfolio</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5"/>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70" w:type="dxa"/>
            <w:vAlign w:val="bottom"/>
            <w:tcBorders>
              <w:bottom w:val="single" w:sz="8" w:color="auto"/>
            </w:tcBorders>
          </w:tcPr>
          <w:p>
            <w:pPr>
              <w:spacing w:after="0"/>
              <w:rPr>
                <w:sz w:val="20"/>
                <w:szCs w:val="20"/>
                <w:color w:val="auto"/>
              </w:rPr>
            </w:pPr>
          </w:p>
        </w:tc>
        <w:tc>
          <w:tcPr>
            <w:tcW w:w="9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32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rPr>
              <w:t>Advisory services, external customers</w:t>
            </w: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gridSpan w:val="3"/>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12,784</w:t>
            </w: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7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90" w:type="dxa"/>
            <w:vAlign w:val="bottom"/>
            <w:tcBorders>
              <w:top w:val="single" w:sz="8" w:color="DDDDDD"/>
              <w:bottom w:val="single" w:sz="8" w:color="DDDDDD"/>
            </w:tcBorders>
            <w:shd w:val="clear" w:color="auto" w:fill="DDDDDD"/>
          </w:tcPr>
          <w:p>
            <w:pPr>
              <w:spacing w:after="0"/>
              <w:rPr>
                <w:sz w:val="15"/>
                <w:szCs w:val="15"/>
                <w:color w:val="auto"/>
              </w:rPr>
            </w:pP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DDDDDD"/>
              <w:bottom w:val="single" w:sz="8" w:color="DDDDDD"/>
            </w:tcBorders>
            <w:shd w:val="clear" w:color="auto" w:fill="DDDDDD"/>
          </w:tcPr>
          <w:p>
            <w:pPr>
              <w:spacing w:after="0"/>
              <w:rPr>
                <w:sz w:val="15"/>
                <w:szCs w:val="15"/>
                <w:color w:val="auto"/>
              </w:rPr>
            </w:pP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12,784</w:t>
            </w:r>
          </w:p>
        </w:tc>
        <w:tc>
          <w:tcPr>
            <w:tcW w:w="20" w:type="dxa"/>
            <w:vAlign w:val="bottom"/>
            <w:tcBorders>
              <w:top w:val="single" w:sz="8" w:color="DDDDDD"/>
            </w:tcBorders>
          </w:tcPr>
          <w:p>
            <w:pPr>
              <w:spacing w:after="0"/>
              <w:rPr>
                <w:sz w:val="15"/>
                <w:szCs w:val="15"/>
                <w:color w:val="auto"/>
              </w:rPr>
            </w:pPr>
          </w:p>
        </w:tc>
        <w:tc>
          <w:tcPr>
            <w:tcW w:w="80" w:type="dxa"/>
            <w:vAlign w:val="bottom"/>
            <w:tcBorders>
              <w:top w:val="single" w:sz="8" w:color="DDDDDD"/>
              <w:bottom w:val="single" w:sz="8" w:color="DDDDDD"/>
            </w:tcBorders>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320" w:type="dxa"/>
            <w:vAlign w:val="bottom"/>
            <w:tcBorders>
              <w:bottom w:val="single" w:sz="8" w:color="DDDDDD"/>
            </w:tcBorders>
          </w:tcPr>
          <w:p>
            <w:pPr>
              <w:spacing w:after="0" w:line="202" w:lineRule="exact"/>
              <w:rPr>
                <w:sz w:val="20"/>
                <w:szCs w:val="20"/>
                <w:color w:val="auto"/>
              </w:rPr>
            </w:pPr>
            <w:r>
              <w:rPr>
                <w:rFonts w:ascii="Times New Roman" w:cs="Times New Roman" w:eastAsia="Times New Roman" w:hAnsi="Times New Roman"/>
                <w:sz w:val="18"/>
                <w:szCs w:val="18"/>
                <w:color w:val="auto"/>
              </w:rPr>
              <w:t>Advisory services, other operating segments</w:t>
            </w:r>
            <w:r>
              <w:rPr>
                <w:rFonts w:ascii="Times New Roman" w:cs="Times New Roman" w:eastAsia="Times New Roman" w:hAnsi="Times New Roman"/>
                <w:sz w:val="9"/>
                <w:szCs w:val="9"/>
                <w:color w:val="auto"/>
              </w:rPr>
              <w:t>(1)</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7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9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(145 )</w:t>
            </w:r>
          </w:p>
        </w:tc>
        <w:tc>
          <w:tcPr>
            <w:tcW w:w="1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320" w:type="dxa"/>
            <w:vAlign w:val="bottom"/>
            <w:tcBorders>
              <w:bottom w:val="single" w:sz="8" w:color="DDDDDD"/>
            </w:tcBorders>
            <w:shd w:val="clear" w:color="auto" w:fill="DDDDDD"/>
          </w:tcPr>
          <w:p>
            <w:pPr>
              <w:spacing w:after="0" w:line="193" w:lineRule="exact"/>
              <w:rPr>
                <w:sz w:val="20"/>
                <w:szCs w:val="20"/>
                <w:color w:val="auto"/>
              </w:rPr>
            </w:pPr>
            <w:r>
              <w:rPr>
                <w:rFonts w:ascii="Times New Roman" w:cs="Times New Roman" w:eastAsia="Times New Roman" w:hAnsi="Times New Roman"/>
                <w:sz w:val="18"/>
                <w:szCs w:val="18"/>
                <w:color w:val="auto"/>
              </w:rPr>
              <w:t>Interest and dividend income</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gridSpan w:val="3"/>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7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6,657</w:t>
            </w:r>
          </w:p>
        </w:tc>
        <w:tc>
          <w:tcPr>
            <w:tcW w:w="9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6,658</w:t>
            </w:r>
          </w:p>
        </w:tc>
        <w:tc>
          <w:tcPr>
            <w:tcW w:w="20" w:type="dxa"/>
            <w:vAlign w:val="bottom"/>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320" w:type="dxa"/>
            <w:vAlign w:val="bottom"/>
            <w:tcBorders>
              <w:bottom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(5,140 )</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auto"/>
              </w:rPr>
              <w:t xml:space="preserve">(2,401 ) </w:t>
            </w:r>
            <w:r>
              <w:rPr>
                <w:rFonts w:ascii="Times New Roman" w:cs="Times New Roman" w:eastAsia="Times New Roman" w:hAnsi="Times New Roman"/>
                <w:sz w:val="19"/>
                <w:szCs w:val="19"/>
                <w:color w:val="auto"/>
                <w:vertAlign w:val="superscript"/>
              </w:rPr>
              <w:t>(2)</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(7,541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82"/>
        </w:trPr>
        <w:tc>
          <w:tcPr>
            <w:tcW w:w="432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rPr>
              <w:t>Net revenues</w:t>
            </w: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980" w:type="dxa"/>
            <w:vAlign w:val="bottom"/>
            <w:tcBorders>
              <w:top w:val="single" w:sz="8" w:color="DDDDDD"/>
              <w:bottom w:val="single" w:sz="8" w:color="DDDDDD"/>
            </w:tcBorders>
            <w:gridSpan w:val="3"/>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12,929</w:t>
            </w: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97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1,517</w:t>
            </w:r>
          </w:p>
        </w:tc>
        <w:tc>
          <w:tcPr>
            <w:tcW w:w="90" w:type="dxa"/>
            <w:vAlign w:val="bottom"/>
            <w:tcBorders>
              <w:top w:val="single" w:sz="8" w:color="DDDDDD"/>
              <w:bottom w:val="single" w:sz="8" w:color="DDDDDD"/>
            </w:tcBorders>
            <w:shd w:val="clear" w:color="auto" w:fill="DDDDDD"/>
          </w:tcPr>
          <w:p>
            <w:pPr>
              <w:spacing w:after="0"/>
              <w:rPr>
                <w:sz w:val="15"/>
                <w:szCs w:val="15"/>
                <w:color w:val="auto"/>
              </w:rPr>
            </w:pP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(2,400</w:t>
            </w:r>
          </w:p>
        </w:tc>
        <w:tc>
          <w:tcPr>
            <w:tcW w:w="6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80" w:type="dxa"/>
            <w:vAlign w:val="bottom"/>
            <w:tcBorders>
              <w:top w:val="single" w:sz="8" w:color="DDDDDD"/>
              <w:bottom w:val="single" w:sz="8" w:color="DDDDDD"/>
            </w:tcBorders>
            <w:shd w:val="clear" w:color="auto" w:fill="DDDDDD"/>
          </w:tcPr>
          <w:p>
            <w:pPr>
              <w:spacing w:after="0"/>
              <w:rPr>
                <w:sz w:val="15"/>
                <w:szCs w:val="15"/>
                <w:color w:val="auto"/>
              </w:rPr>
            </w:pP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80" w:type="dxa"/>
            <w:vAlign w:val="bottom"/>
            <w:tcBorders>
              <w:top w:val="single" w:sz="8" w:color="DDDDDD"/>
              <w:bottom w:val="single" w:sz="8" w:color="DDDDDD"/>
            </w:tcBorders>
            <w:shd w:val="clear" w:color="auto" w:fill="DDDDDD"/>
          </w:tcPr>
          <w:p>
            <w:pPr>
              <w:spacing w:after="0"/>
              <w:rPr>
                <w:sz w:val="15"/>
                <w:szCs w:val="15"/>
                <w:color w:val="auto"/>
              </w:rPr>
            </w:pP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11,901</w:t>
            </w:r>
          </w:p>
        </w:tc>
        <w:tc>
          <w:tcPr>
            <w:tcW w:w="20" w:type="dxa"/>
            <w:vAlign w:val="bottom"/>
            <w:tcBorders>
              <w:top w:val="single" w:sz="8" w:color="DDDDDD"/>
            </w:tcBorders>
          </w:tcPr>
          <w:p>
            <w:pPr>
              <w:spacing w:after="0"/>
              <w:rPr>
                <w:sz w:val="15"/>
                <w:szCs w:val="15"/>
                <w:color w:val="auto"/>
              </w:rPr>
            </w:pPr>
          </w:p>
        </w:tc>
        <w:tc>
          <w:tcPr>
            <w:tcW w:w="80" w:type="dxa"/>
            <w:vAlign w:val="bottom"/>
            <w:tcBorders>
              <w:top w:val="single" w:sz="8" w:color="DDDDDD"/>
              <w:bottom w:val="single" w:sz="8" w:color="DDDDDD"/>
            </w:tcBorders>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320" w:type="dxa"/>
            <w:vAlign w:val="bottom"/>
            <w:tcBorders>
              <w:bottom w:val="single" w:sz="8" w:color="DDDDDD"/>
            </w:tcBorders>
          </w:tcPr>
          <w:p>
            <w:pPr>
              <w:spacing w:after="0" w:line="202" w:lineRule="exact"/>
              <w:rPr>
                <w:sz w:val="20"/>
                <w:szCs w:val="20"/>
                <w:color w:val="auto"/>
              </w:rPr>
            </w:pPr>
            <w:r>
              <w:rPr>
                <w:rFonts w:ascii="Times New Roman" w:cs="Times New Roman" w:eastAsia="Times New Roman" w:hAnsi="Times New Roman"/>
                <w:sz w:val="18"/>
                <w:szCs w:val="18"/>
                <w:color w:val="auto"/>
              </w:rPr>
              <w:t>Other (expense) income</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7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1,167</w:t>
            </w:r>
          </w:p>
        </w:tc>
        <w:tc>
          <w:tcPr>
            <w:tcW w:w="9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1,167</w:t>
            </w:r>
          </w:p>
        </w:tc>
        <w:tc>
          <w:tcPr>
            <w:tcW w:w="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320" w:type="dxa"/>
            <w:vAlign w:val="bottom"/>
            <w:tcBorders>
              <w:bottom w:val="single" w:sz="8" w:color="DDDDDD"/>
            </w:tcBorders>
            <w:shd w:val="clear" w:color="auto" w:fill="DDDDDD"/>
          </w:tcPr>
          <w:p>
            <w:pPr>
              <w:spacing w:after="0" w:line="193"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9"/>
                <w:szCs w:val="9"/>
                <w:color w:val="auto"/>
              </w:rPr>
              <w:t>(3)</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gridSpan w:val="3"/>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(7,241</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7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(4,016</w:t>
            </w:r>
          </w:p>
        </w:tc>
        <w:tc>
          <w:tcPr>
            <w:tcW w:w="9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(11,258</w:t>
            </w:r>
          </w:p>
        </w:tc>
        <w:tc>
          <w:tcPr>
            <w:tcW w:w="20" w:type="dxa"/>
            <w:vAlign w:val="bottom"/>
          </w:tcPr>
          <w:p>
            <w:pPr>
              <w:spacing w:after="0"/>
              <w:rPr>
                <w:sz w:val="16"/>
                <w:szCs w:val="16"/>
                <w:color w:val="auto"/>
              </w:rPr>
            </w:pPr>
          </w:p>
        </w:tc>
        <w:tc>
          <w:tcPr>
            <w:tcW w:w="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8"/>
                <w:szCs w:val="8"/>
                <w:color w:val="auto"/>
                <w:highlight w:val="lightGray"/>
                <w:w w:val="73"/>
              </w:rPr>
              <w:t>)</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auto"/>
            </w:tcBorders>
          </w:tcPr>
          <w:p>
            <w:pPr>
              <w:spacing w:after="0" w:line="204" w:lineRule="exact"/>
              <w:rPr>
                <w:sz w:val="20"/>
                <w:szCs w:val="20"/>
                <w:color w:val="auto"/>
              </w:rPr>
            </w:pPr>
            <w:r>
              <w:rPr>
                <w:rFonts w:ascii="Times New Roman" w:cs="Times New Roman" w:eastAsia="Times New Roman" w:hAnsi="Times New Roman"/>
                <w:sz w:val="18"/>
                <w:szCs w:val="18"/>
                <w:color w:val="auto"/>
              </w:rPr>
              <w:t>Intercompany expenses</w:t>
            </w:r>
            <w:r>
              <w:rPr>
                <w:rFonts w:ascii="Times New Roman" w:cs="Times New Roman" w:eastAsia="Times New Roman" w:hAnsi="Times New Roman"/>
                <w:sz w:val="9"/>
                <w:szCs w:val="9"/>
                <w:color w:val="auto"/>
              </w:rPr>
              <w:t>(1)</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(145 )</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320" w:type="dxa"/>
            <w:vAlign w:val="bottom"/>
            <w:tcBorders>
              <w:top w:val="single" w:sz="8" w:color="DDDDDD"/>
              <w:bottom w:val="single" w:sz="8" w:color="DDDDDD"/>
            </w:tcBorders>
            <w:shd w:val="clear" w:color="auto" w:fill="DDDDDD"/>
          </w:tcPr>
          <w:p>
            <w:pPr>
              <w:spacing w:after="0" w:line="181" w:lineRule="exact"/>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gridSpan w:val="3"/>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rPr>
              <w:t>5,688</w:t>
            </w: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7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rPr>
              <w:t>(1,477</w:t>
            </w:r>
          </w:p>
        </w:tc>
        <w:tc>
          <w:tcPr>
            <w:tcW w:w="9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rPr>
              <w:t>(2,401</w:t>
            </w:r>
          </w:p>
        </w:tc>
        <w:tc>
          <w:tcPr>
            <w:tcW w:w="6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top w:val="single" w:sz="8" w:color="DDDDDD"/>
              <w:bottom w:val="single" w:sz="8" w:color="DDDDDD"/>
            </w:tcBorders>
            <w:shd w:val="clear" w:color="auto" w:fill="DDDDDD"/>
          </w:tcPr>
          <w:p>
            <w:pPr>
              <w:spacing w:after="0"/>
              <w:rPr>
                <w:sz w:val="17"/>
                <w:szCs w:val="17"/>
                <w:color w:val="auto"/>
              </w:rPr>
            </w:pPr>
          </w:p>
        </w:tc>
        <w:tc>
          <w:tcPr>
            <w:tcW w:w="120" w:type="dxa"/>
            <w:vAlign w:val="bottom"/>
            <w:tcBorders>
              <w:top w:val="single" w:sz="8" w:color="DDDDDD"/>
              <w:bottom w:val="single" w:sz="8" w:color="DDDDDD"/>
            </w:tcBorders>
            <w:shd w:val="clear" w:color="auto" w:fill="DDDDDD"/>
          </w:tcPr>
          <w:p>
            <w:pPr>
              <w:spacing w:after="0"/>
              <w:rPr>
                <w:sz w:val="17"/>
                <w:szCs w:val="17"/>
                <w:color w:val="auto"/>
              </w:rPr>
            </w:pPr>
          </w:p>
        </w:tc>
        <w:tc>
          <w:tcPr>
            <w:tcW w:w="8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98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120" w:type="dxa"/>
            <w:vAlign w:val="bottom"/>
            <w:tcBorders>
              <w:top w:val="single" w:sz="8" w:color="DDDDDD"/>
              <w:bottom w:val="single" w:sz="8" w:color="DDDDDD"/>
            </w:tcBorders>
            <w:shd w:val="clear" w:color="auto" w:fill="DDDDDD"/>
          </w:tcPr>
          <w:p>
            <w:pPr>
              <w:spacing w:after="0"/>
              <w:rPr>
                <w:sz w:val="17"/>
                <w:szCs w:val="17"/>
                <w:color w:val="auto"/>
              </w:rPr>
            </w:pPr>
          </w:p>
        </w:tc>
        <w:tc>
          <w:tcPr>
            <w:tcW w:w="8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98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rPr>
              <w:t>1,810</w:t>
            </w:r>
          </w:p>
        </w:tc>
        <w:tc>
          <w:tcPr>
            <w:tcW w:w="20" w:type="dxa"/>
            <w:vAlign w:val="bottom"/>
            <w:tcBorders>
              <w:top w:val="single" w:sz="8" w:color="DDDDDD"/>
            </w:tcBorders>
          </w:tcPr>
          <w:p>
            <w:pPr>
              <w:spacing w:after="0"/>
              <w:rPr>
                <w:sz w:val="17"/>
                <w:szCs w:val="17"/>
                <w:color w:val="auto"/>
              </w:rPr>
            </w:pPr>
          </w:p>
        </w:tc>
        <w:tc>
          <w:tcPr>
            <w:tcW w:w="80" w:type="dxa"/>
            <w:vAlign w:val="bottom"/>
            <w:tcBorders>
              <w:top w:val="single" w:sz="8" w:color="DDDDDD"/>
              <w:bottom w:val="single" w:sz="8" w:color="DDDDDD"/>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97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Year-end assets</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7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146,714</w:t>
            </w:r>
          </w:p>
        </w:tc>
        <w:tc>
          <w:tcPr>
            <w:tcW w:w="9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154,854</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70" w:type="dxa"/>
            <w:vAlign w:val="bottom"/>
            <w:tcBorders>
              <w:bottom w:val="single" w:sz="8" w:color="auto"/>
            </w:tcBorders>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-1612265</wp:posOffset>
                </wp:positionV>
                <wp:extent cx="685800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6">
                          <a:solidFill>
                            <a:srgbClr val="FFFFFF"/>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26.9499pt" to="540.2pt,-126.9499pt" o:allowincell="f" strokecolor="#FFFFFF" strokeweight="0.1398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-173355</wp:posOffset>
                </wp:positionV>
                <wp:extent cx="685800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65">
                          <a:solidFill>
                            <a:srgbClr val="FFFFFF"/>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3.6499pt" to="540.2pt,-13.6499pt" o:allowincell="f" strokecolor="#FFFFFF" strokeweight="0.139pt"/>
            </w:pict>
          </mc:Fallback>
        </mc:AlternateContent>
      </w:r>
    </w:p>
    <w:p>
      <w:pPr>
        <w:spacing w:after="0" w:line="197" w:lineRule="exact"/>
        <w:rPr>
          <w:sz w:val="20"/>
          <w:szCs w:val="20"/>
          <w:color w:val="auto"/>
        </w:rPr>
      </w:pPr>
    </w:p>
    <w:p>
      <w:pPr>
        <w:ind w:left="360" w:right="300" w:hanging="350"/>
        <w:spacing w:after="0" w:line="259" w:lineRule="auto"/>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fees paid by Royal Palm to Bimini Advisors for advisory services at an annualized rate of 1.5% of capital allocated to Royal Palm's MBS portfolio.</w:t>
      </w:r>
    </w:p>
    <w:p>
      <w:pPr>
        <w:spacing w:after="0" w:line="1" w:lineRule="exact"/>
        <w:rPr>
          <w:rFonts w:ascii="Times New Roman" w:cs="Times New Roman" w:eastAsia="Times New Roman" w:hAnsi="Times New Roman"/>
          <w:sz w:val="18"/>
          <w:szCs w:val="18"/>
          <w:color w:val="auto"/>
        </w:rPr>
      </w:pPr>
    </w:p>
    <w:p>
      <w:pPr>
        <w:ind w:left="360" w:hanging="350"/>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on long-term debt.</w:t>
      </w:r>
    </w:p>
    <w:p>
      <w:pPr>
        <w:spacing w:after="0" w:line="10" w:lineRule="exact"/>
        <w:rPr>
          <w:rFonts w:ascii="Times New Roman" w:cs="Times New Roman" w:eastAsia="Times New Roman" w:hAnsi="Times New Roman"/>
          <w:sz w:val="18"/>
          <w:szCs w:val="18"/>
          <w:color w:val="auto"/>
        </w:rPr>
      </w:pPr>
    </w:p>
    <w:p>
      <w:pPr>
        <w:ind w:left="360" w:hanging="350"/>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expenses are allocated based on each segment’s proportional share of total revenues.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Asset Management Segment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Advisory Services Revenue</w:t>
      </w:r>
    </w:p>
    <w:p>
      <w:pPr>
        <w:spacing w:after="0" w:line="228" w:lineRule="exact"/>
        <w:rPr>
          <w:sz w:val="20"/>
          <w:szCs w:val="20"/>
          <w:color w:val="auto"/>
        </w:rPr>
      </w:pPr>
    </w:p>
    <w:p>
      <w:pPr>
        <w:ind w:right="160" w:firstLine="360"/>
        <w:spacing w:after="0" w:line="278" w:lineRule="auto"/>
        <w:rPr>
          <w:sz w:val="20"/>
          <w:szCs w:val="20"/>
          <w:color w:val="auto"/>
        </w:rPr>
      </w:pPr>
      <w:r>
        <w:rPr>
          <w:rFonts w:ascii="Times New Roman" w:cs="Times New Roman" w:eastAsia="Times New Roman" w:hAnsi="Times New Roman"/>
          <w:sz w:val="20"/>
          <w:szCs w:val="20"/>
          <w:color w:val="auto"/>
        </w:rPr>
        <w:t>Advisory services revenue consists of management fees and overhead reimbursements charged to Orchid for the management of its portfolio pursuant to the terms of a management agreement. We receive a monthly management fee in the amount of:</w:t>
      </w:r>
    </w:p>
    <w:p>
      <w:pPr>
        <w:spacing w:after="0" w:line="162" w:lineRule="exact"/>
        <w:rPr>
          <w:sz w:val="20"/>
          <w:szCs w:val="20"/>
          <w:color w:val="auto"/>
        </w:rPr>
      </w:pPr>
    </w:p>
    <w:p>
      <w:pPr>
        <w:ind w:left="720" w:hanging="35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One-twelfth of 1.50% of the first $250 million of Orchid’s month-end equity, as defined in the management agreement,</w:t>
      </w:r>
    </w:p>
    <w:p>
      <w:pPr>
        <w:spacing w:after="0" w:line="36" w:lineRule="exact"/>
        <w:rPr>
          <w:rFonts w:ascii="Times New Roman" w:cs="Times New Roman" w:eastAsia="Times New Roman" w:hAnsi="Times New Roman"/>
          <w:sz w:val="20"/>
          <w:szCs w:val="20"/>
          <w:color w:val="auto"/>
        </w:rPr>
      </w:pPr>
    </w:p>
    <w:p>
      <w:pPr>
        <w:ind w:left="720" w:right="160" w:hanging="350"/>
        <w:spacing w:after="0" w:line="245"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One-twelfth of 1.25% of Orchid’s month-end equity that is greater than $250 million and less than or equal to $500 million, and</w:t>
      </w:r>
    </w:p>
    <w:p>
      <w:pPr>
        <w:ind w:left="720" w:hanging="35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One-twelfth of 1.00% of Orchid’s month-end equity that is greater than $500 million.</w:t>
      </w:r>
    </w:p>
    <w:p>
      <w:pPr>
        <w:spacing w:after="0" w:line="208" w:lineRule="exact"/>
        <w:rPr>
          <w:sz w:val="20"/>
          <w:szCs w:val="20"/>
          <w:color w:val="auto"/>
        </w:rPr>
      </w:pPr>
    </w:p>
    <w:p>
      <w:pPr>
        <w:ind w:left="160" w:right="20" w:firstLine="180"/>
        <w:spacing w:after="0" w:line="278" w:lineRule="auto"/>
        <w:rPr>
          <w:sz w:val="20"/>
          <w:szCs w:val="20"/>
          <w:color w:val="auto"/>
        </w:rPr>
      </w:pPr>
      <w:r>
        <w:rPr>
          <w:rFonts w:ascii="Times New Roman" w:cs="Times New Roman" w:eastAsia="Times New Roman" w:hAnsi="Times New Roman"/>
          <w:sz w:val="20"/>
          <w:szCs w:val="20"/>
          <w:color w:val="auto"/>
        </w:rPr>
        <w:t>The Company also provides certain repurchase agreement trading, clearing and administrative services to Orchid. In consideration for such services, Orchid pays the following fees to the Company:</w:t>
      </w:r>
    </w:p>
    <w:p>
      <w:pPr>
        <w:spacing w:after="0" w:line="162" w:lineRule="exact"/>
        <w:rPr>
          <w:sz w:val="20"/>
          <w:szCs w:val="20"/>
          <w:color w:val="auto"/>
        </w:rPr>
      </w:pPr>
    </w:p>
    <w:p>
      <w:pPr>
        <w:ind w:left="440" w:right="460" w:hanging="232"/>
        <w:spacing w:after="0" w:line="253" w:lineRule="auto"/>
        <w:tabs>
          <w:tab w:leader="none" w:pos="4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daily fee equal to the outstanding principal balance of repurchase agreement funding in place as of the end of such day multiplied by 1.5 basis points for the amount of aggregate outstanding principal balance less than or equal to $5 billion, and multiplied by 1.0 basis point for any amount of aggregate outstanding principal balance in excess of $5 billion, and</w:t>
      </w:r>
    </w:p>
    <w:p>
      <w:pPr>
        <w:ind w:left="440" w:hanging="232"/>
        <w:spacing w:after="0"/>
        <w:tabs>
          <w:tab w:leader="none" w:pos="4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fee for the clearing and operational services provided by personnel of the Manager equal to $10,000 per month.</w:t>
      </w:r>
    </w:p>
    <w:p>
      <w:pPr>
        <w:spacing w:after="0" w:line="208" w:lineRule="exact"/>
        <w:rPr>
          <w:sz w:val="20"/>
          <w:szCs w:val="20"/>
          <w:color w:val="auto"/>
        </w:rPr>
      </w:pPr>
    </w:p>
    <w:p>
      <w:pPr>
        <w:ind w:right="20" w:firstLine="360"/>
        <w:spacing w:after="0" w:line="249" w:lineRule="auto"/>
        <w:rPr>
          <w:sz w:val="20"/>
          <w:szCs w:val="20"/>
          <w:color w:val="auto"/>
        </w:rPr>
      </w:pPr>
      <w:r>
        <w:rPr>
          <w:rFonts w:ascii="Times New Roman" w:cs="Times New Roman" w:eastAsia="Times New Roman" w:hAnsi="Times New Roman"/>
          <w:sz w:val="20"/>
          <w:szCs w:val="20"/>
          <w:color w:val="auto"/>
        </w:rPr>
        <w:t>In addition, Orchid is obligated to reimburse us for any direct expenses incurred on its behalf and to pay to us an amount equal to Orchid's pro rata portion of certain overhead costs set forth in the management agreement. The management agreement has been renewed through February 2027 and provides for automatic one-year extension options. Should Orchid terminate the management agreement without cause, it will be obligated to pay to us a termination fee equal to three times the average annual management fee, as defined in the management agreement, before or on the last day of the applicable renewal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800"/>
          </w:cols>
          <w:pgMar w:left="720" w:top="786" w:right="720" w:bottom="135" w:gutter="0" w:footer="0" w:header="0"/>
        </w:sectPr>
      </w:pPr>
    </w:p>
    <w:bookmarkStart w:id="39" w:name="page40"/>
    <w:bookmarkEnd w:id="39"/>
    <w:p>
      <w:pPr>
        <w:ind w:left="20" w:right="140" w:firstLine="360"/>
        <w:spacing w:after="0" w:line="278" w:lineRule="auto"/>
        <w:rPr>
          <w:sz w:val="20"/>
          <w:szCs w:val="20"/>
          <w:color w:val="auto"/>
        </w:rPr>
      </w:pPr>
      <w:r>
        <w:rPr>
          <w:rFonts w:ascii="Times New Roman" w:cs="Times New Roman" w:eastAsia="Times New Roman" w:hAnsi="Times New Roman"/>
          <w:sz w:val="20"/>
          <w:szCs w:val="20"/>
          <w:color w:val="auto"/>
        </w:rPr>
        <w:t>The following table summarizes the advisory services revenue received from Orchid for the years ended December 31, 2025 and 2024 and each quarter during 2025 and 2024.</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220" w:type="dxa"/>
            <w:vAlign w:val="bottom"/>
            <w:tcBorders>
              <w:top w:val="single" w:sz="8" w:color="auto"/>
            </w:tcBorders>
          </w:tcPr>
          <w:p>
            <w:pPr>
              <w:spacing w:after="0"/>
              <w:rPr>
                <w:sz w:val="18"/>
                <w:szCs w:val="18"/>
                <w:color w:val="auto"/>
              </w:rPr>
            </w:pPr>
          </w:p>
        </w:tc>
        <w:tc>
          <w:tcPr>
            <w:tcW w:w="90" w:type="dxa"/>
            <w:vAlign w:val="bottom"/>
            <w:tcBorders>
              <w:top w:val="single" w:sz="8" w:color="auto"/>
            </w:tcBorders>
          </w:tcPr>
          <w:p>
            <w:pPr>
              <w:spacing w:after="0"/>
              <w:rPr>
                <w:sz w:val="18"/>
                <w:szCs w:val="18"/>
                <w:color w:val="auto"/>
              </w:rPr>
            </w:pPr>
          </w:p>
        </w:tc>
        <w:tc>
          <w:tcPr>
            <w:tcW w:w="9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80" w:type="dxa"/>
            <w:vAlign w:val="bottom"/>
            <w:tcBorders>
              <w:top w:val="single" w:sz="8" w:color="auto"/>
              <w:bottom w:val="single" w:sz="8" w:color="auto"/>
            </w:tcBorders>
            <w:gridSpan w:val="6"/>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Advisory Services</w:t>
            </w:r>
          </w:p>
        </w:tc>
        <w:tc>
          <w:tcPr>
            <w:tcW w:w="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r>
      <w:tr>
        <w:trPr>
          <w:trHeight w:val="191"/>
        </w:trPr>
        <w:tc>
          <w:tcPr>
            <w:tcW w:w="322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740" w:type="dxa"/>
            <w:vAlign w:val="bottom"/>
          </w:tcPr>
          <w:p>
            <w:pPr>
              <w:jc w:val="center"/>
              <w:ind w:right="10"/>
              <w:spacing w:after="0" w:line="191"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3"/>
          </w:tcPr>
          <w:p>
            <w:pPr>
              <w:jc w:val="center"/>
              <w:ind w:right="10"/>
              <w:spacing w:after="0" w:line="191"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80"/>
              <w:spacing w:after="0" w:line="191" w:lineRule="exact"/>
              <w:rPr>
                <w:sz w:val="20"/>
                <w:szCs w:val="20"/>
                <w:color w:val="auto"/>
              </w:rPr>
            </w:pPr>
            <w:r>
              <w:rPr>
                <w:rFonts w:ascii="Times New Roman" w:cs="Times New Roman" w:eastAsia="Times New Roman" w:hAnsi="Times New Roman"/>
                <w:sz w:val="18"/>
                <w:szCs w:val="18"/>
                <w:b w:val="1"/>
                <w:bCs w:val="1"/>
                <w:color w:val="auto"/>
              </w:rPr>
              <w:t>Orchid</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30"/>
              <w:spacing w:after="0" w:line="191" w:lineRule="exact"/>
              <w:rPr>
                <w:sz w:val="20"/>
                <w:szCs w:val="20"/>
                <w:color w:val="auto"/>
              </w:rPr>
            </w:pPr>
            <w:r>
              <w:rPr>
                <w:rFonts w:ascii="Times New Roman" w:cs="Times New Roman" w:eastAsia="Times New Roman" w:hAnsi="Times New Roman"/>
                <w:sz w:val="18"/>
                <w:szCs w:val="18"/>
                <w:b w:val="1"/>
                <w:bCs w:val="1"/>
                <w:color w:val="auto"/>
                <w:w w:val="98"/>
              </w:rPr>
              <w:t>Repurchase,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7"/>
        </w:trPr>
        <w:tc>
          <w:tcPr>
            <w:tcW w:w="32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Orchid</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Orchid</w:t>
            </w:r>
          </w:p>
        </w:tc>
        <w:tc>
          <w:tcPr>
            <w:tcW w:w="160" w:type="dxa"/>
            <w:vAlign w:val="bottom"/>
          </w:tcPr>
          <w:p>
            <w:pPr>
              <w:spacing w:after="0"/>
              <w:rPr>
                <w:sz w:val="18"/>
                <w:szCs w:val="18"/>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Repurchase</w:t>
            </w: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Management</w:t>
            </w:r>
          </w:p>
        </w:tc>
        <w:tc>
          <w:tcPr>
            <w:tcW w:w="18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Overhead</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Clearing and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60"/>
        </w:trPr>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0" w:type="dxa"/>
            <w:vAlign w:val="bottom"/>
            <w:tcBorders>
              <w:bottom w:val="single" w:sz="8" w:color="auto"/>
            </w:tcBorders>
          </w:tcPr>
          <w:p>
            <w:pPr>
              <w:spacing w:after="0"/>
              <w:rPr>
                <w:sz w:val="22"/>
                <w:szCs w:val="22"/>
                <w:color w:val="auto"/>
              </w:rPr>
            </w:pPr>
          </w:p>
        </w:tc>
        <w:tc>
          <w:tcPr>
            <w:tcW w:w="9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MBS</w:t>
            </w: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Agreements</w:t>
            </w: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Fee</w:t>
            </w: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Allocation</w:t>
            </w: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Administrative</w:t>
            </w: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82"/>
        </w:trPr>
        <w:tc>
          <w:tcPr>
            <w:tcW w:w="322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rPr>
              <w:t>December 31, 2025</w:t>
            </w:r>
          </w:p>
        </w:tc>
        <w:tc>
          <w:tcPr>
            <w:tcW w:w="90" w:type="dxa"/>
            <w:vAlign w:val="bottom"/>
            <w:tcBorders>
              <w:top w:val="single" w:sz="8" w:color="DDDDDD"/>
              <w:bottom w:val="single" w:sz="8" w:color="DDDDDD"/>
            </w:tcBorders>
            <w:shd w:val="clear" w:color="auto" w:fill="DDDDDD"/>
          </w:tcPr>
          <w:p>
            <w:pPr>
              <w:spacing w:after="0"/>
              <w:rPr>
                <w:sz w:val="15"/>
                <w:szCs w:val="15"/>
                <w:color w:val="auto"/>
              </w:rPr>
            </w:pPr>
          </w:p>
        </w:tc>
        <w:tc>
          <w:tcPr>
            <w:tcW w:w="9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74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99"/>
              </w:rPr>
              <w:t>9,492,369</w:t>
            </w:r>
          </w:p>
        </w:tc>
        <w:tc>
          <w:tcPr>
            <w:tcW w:w="60" w:type="dxa"/>
            <w:vAlign w:val="bottom"/>
            <w:tcBorders>
              <w:top w:val="single" w:sz="8" w:color="DDDDDD"/>
              <w:bottom w:val="single" w:sz="8" w:color="DDDDDD"/>
            </w:tcBorders>
            <w:shd w:val="clear" w:color="auto" w:fill="DDDDDD"/>
          </w:tcPr>
          <w:p>
            <w:pPr>
              <w:spacing w:after="0"/>
              <w:rPr>
                <w:sz w:val="15"/>
                <w:szCs w:val="15"/>
                <w:color w:val="auto"/>
              </w:rPr>
            </w:pPr>
          </w:p>
        </w:tc>
        <w:tc>
          <w:tcPr>
            <w:tcW w:w="20" w:type="dxa"/>
            <w:vAlign w:val="bottom"/>
            <w:tcBorders>
              <w:top w:val="single" w:sz="8" w:color="DDDDDD"/>
              <w:bottom w:val="single" w:sz="8" w:color="DDDDDD"/>
            </w:tcBorders>
            <w:shd w:val="clear" w:color="auto" w:fill="DDDDDD"/>
          </w:tcPr>
          <w:p>
            <w:pPr>
              <w:spacing w:after="0"/>
              <w:rPr>
                <w:sz w:val="15"/>
                <w:szCs w:val="15"/>
                <w:color w:val="auto"/>
              </w:rPr>
            </w:pPr>
          </w:p>
        </w:tc>
        <w:tc>
          <w:tcPr>
            <w:tcW w:w="80" w:type="dxa"/>
            <w:vAlign w:val="bottom"/>
            <w:tcBorders>
              <w:top w:val="single" w:sz="8" w:color="DDDDDD"/>
              <w:bottom w:val="single" w:sz="8" w:color="DDDDDD"/>
            </w:tcBorders>
            <w:shd w:val="clear" w:color="auto" w:fill="DDDDDD"/>
          </w:tcPr>
          <w:p>
            <w:pPr>
              <w:spacing w:after="0"/>
              <w:rPr>
                <w:sz w:val="15"/>
                <w:szCs w:val="15"/>
                <w:color w:val="auto"/>
              </w:rPr>
            </w:pPr>
          </w:p>
        </w:tc>
        <w:tc>
          <w:tcPr>
            <w:tcW w:w="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20" w:type="dxa"/>
            <w:vAlign w:val="bottom"/>
            <w:tcBorders>
              <w:top w:val="single" w:sz="8" w:color="DDDDDD"/>
              <w:bottom w:val="single" w:sz="8" w:color="DDDDDD"/>
            </w:tcBorders>
            <w:shd w:val="clear" w:color="auto" w:fill="DDDDDD"/>
          </w:tcPr>
          <w:p>
            <w:pPr>
              <w:spacing w:after="0"/>
              <w:rPr>
                <w:sz w:val="15"/>
                <w:szCs w:val="15"/>
                <w:color w:val="auto"/>
              </w:rPr>
            </w:pPr>
          </w:p>
        </w:tc>
        <w:tc>
          <w:tcPr>
            <w:tcW w:w="20" w:type="dxa"/>
            <w:vAlign w:val="bottom"/>
            <w:tcBorders>
              <w:top w:val="single" w:sz="8" w:color="DDDDDD"/>
              <w:bottom w:val="single" w:sz="8" w:color="DDDDDD"/>
            </w:tcBorders>
            <w:shd w:val="clear" w:color="auto" w:fill="DDDDDD"/>
          </w:tcPr>
          <w:p>
            <w:pPr>
              <w:spacing w:after="0"/>
              <w:rPr>
                <w:sz w:val="15"/>
                <w:szCs w:val="15"/>
                <w:color w:val="auto"/>
              </w:rPr>
            </w:pPr>
          </w:p>
        </w:tc>
        <w:tc>
          <w:tcPr>
            <w:tcW w:w="7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94"/>
              </w:rPr>
              <w:t>1,233,957</w:t>
            </w:r>
          </w:p>
        </w:tc>
        <w:tc>
          <w:tcPr>
            <w:tcW w:w="160" w:type="dxa"/>
            <w:vAlign w:val="bottom"/>
            <w:tcBorders>
              <w:top w:val="single" w:sz="8" w:color="DDDDDD"/>
              <w:bottom w:val="single" w:sz="8" w:color="DDDDDD"/>
            </w:tcBorders>
            <w:shd w:val="clear" w:color="auto" w:fill="DDDDDD"/>
          </w:tcPr>
          <w:p>
            <w:pPr>
              <w:spacing w:after="0"/>
              <w:rPr>
                <w:sz w:val="15"/>
                <w:szCs w:val="15"/>
                <w:color w:val="auto"/>
              </w:rPr>
            </w:pPr>
          </w:p>
        </w:tc>
        <w:tc>
          <w:tcPr>
            <w:tcW w:w="12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highlight w:val="lightGray"/>
              </w:rPr>
              <w:t>$</w:t>
            </w:r>
          </w:p>
        </w:tc>
        <w:tc>
          <w:tcPr>
            <w:tcW w:w="820" w:type="dxa"/>
            <w:vAlign w:val="bottom"/>
            <w:tcBorders>
              <w:top w:val="single" w:sz="8" w:color="DDDDDD"/>
              <w:bottom w:val="single" w:sz="8" w:color="DDDDDD"/>
            </w:tcBorders>
            <w:shd w:val="clear" w:color="auto" w:fill="DDDDDD"/>
          </w:tcPr>
          <w:p>
            <w:pPr>
              <w:ind w:left="80"/>
              <w:spacing w:after="0" w:line="182" w:lineRule="exact"/>
              <w:rPr>
                <w:sz w:val="20"/>
                <w:szCs w:val="20"/>
                <w:color w:val="auto"/>
              </w:rPr>
            </w:pPr>
            <w:r>
              <w:rPr>
                <w:rFonts w:ascii="Times New Roman" w:cs="Times New Roman" w:eastAsia="Times New Roman" w:hAnsi="Times New Roman"/>
                <w:sz w:val="18"/>
                <w:szCs w:val="18"/>
                <w:color w:val="auto"/>
                <w:highlight w:val="lightGray"/>
                <w:w w:val="99"/>
              </w:rPr>
              <w:t>9,061,222</w:t>
            </w:r>
          </w:p>
        </w:tc>
        <w:tc>
          <w:tcPr>
            <w:tcW w:w="160" w:type="dxa"/>
            <w:vAlign w:val="bottom"/>
            <w:tcBorders>
              <w:top w:val="single" w:sz="8" w:color="DDDDDD"/>
              <w:bottom w:val="single" w:sz="8" w:color="DDDDDD"/>
            </w:tcBorders>
            <w:shd w:val="clear" w:color="auto" w:fill="DDDDDD"/>
          </w:tcPr>
          <w:p>
            <w:pPr>
              <w:spacing w:after="0"/>
              <w:rPr>
                <w:sz w:val="15"/>
                <w:szCs w:val="15"/>
                <w:color w:val="auto"/>
              </w:rPr>
            </w:pPr>
          </w:p>
        </w:tc>
        <w:tc>
          <w:tcPr>
            <w:tcW w:w="12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highlight w:val="lightGray"/>
              </w:rPr>
              <w:t>$</w:t>
            </w:r>
          </w:p>
        </w:tc>
        <w:tc>
          <w:tcPr>
            <w:tcW w:w="9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3,700</w:t>
            </w:r>
          </w:p>
        </w:tc>
        <w:tc>
          <w:tcPr>
            <w:tcW w:w="180" w:type="dxa"/>
            <w:vAlign w:val="bottom"/>
            <w:tcBorders>
              <w:top w:val="single" w:sz="8" w:color="DDDDDD"/>
              <w:bottom w:val="single" w:sz="8" w:color="DDDDDD"/>
            </w:tcBorders>
            <w:shd w:val="clear" w:color="auto" w:fill="DDDDDD"/>
          </w:tcPr>
          <w:p>
            <w:pPr>
              <w:spacing w:after="0"/>
              <w:rPr>
                <w:sz w:val="15"/>
                <w:szCs w:val="15"/>
                <w:color w:val="auto"/>
              </w:rPr>
            </w:pPr>
          </w:p>
        </w:tc>
        <w:tc>
          <w:tcPr>
            <w:tcW w:w="8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74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705</w:t>
            </w: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4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50" w:type="dxa"/>
            <w:vAlign w:val="bottom"/>
            <w:tcBorders>
              <w:top w:val="single" w:sz="8" w:color="DDDDDD"/>
              <w:bottom w:val="single" w:sz="8" w:color="DDDDDD"/>
            </w:tcBorders>
            <w:shd w:val="clear" w:color="auto" w:fill="DDDDDD"/>
          </w:tcPr>
          <w:p>
            <w:pPr>
              <w:spacing w:after="0"/>
              <w:rPr>
                <w:sz w:val="15"/>
                <w:szCs w:val="15"/>
                <w:color w:val="auto"/>
              </w:rPr>
            </w:pPr>
          </w:p>
        </w:tc>
        <w:tc>
          <w:tcPr>
            <w:tcW w:w="103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319</w:t>
            </w:r>
          </w:p>
        </w:tc>
        <w:tc>
          <w:tcPr>
            <w:tcW w:w="16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72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4,724</w:t>
            </w:r>
          </w:p>
        </w:tc>
        <w:tc>
          <w:tcPr>
            <w:tcW w:w="80" w:type="dxa"/>
            <w:vAlign w:val="bottom"/>
            <w:tcBorders>
              <w:top w:val="single" w:sz="8" w:color="DDDDDD"/>
              <w:bottom w:val="single" w:sz="8" w:color="DDDDDD"/>
            </w:tcBorders>
            <w:shd w:val="clear" w:color="auto" w:fill="DDDDDD"/>
          </w:tcPr>
          <w:p>
            <w:pPr>
              <w:spacing w:after="0"/>
              <w:rPr>
                <w:sz w:val="15"/>
                <w:szCs w:val="15"/>
                <w:color w:val="auto"/>
              </w:rPr>
            </w:pPr>
          </w:p>
        </w:tc>
      </w:tr>
      <w:tr>
        <w:trPr>
          <w:trHeight w:val="202"/>
        </w:trPr>
        <w:tc>
          <w:tcPr>
            <w:tcW w:w="3220" w:type="dxa"/>
            <w:vAlign w:val="bottom"/>
            <w:tcBorders>
              <w:bottom w:val="single" w:sz="8" w:color="DDDDDD"/>
            </w:tcBorders>
          </w:tcPr>
          <w:p>
            <w:pPr>
              <w:spacing w:after="0" w:line="202" w:lineRule="exact"/>
              <w:rPr>
                <w:sz w:val="20"/>
                <w:szCs w:val="20"/>
                <w:color w:val="auto"/>
              </w:rPr>
            </w:pPr>
            <w:r>
              <w:rPr>
                <w:rFonts w:ascii="Times New Roman" w:cs="Times New Roman" w:eastAsia="Times New Roman" w:hAnsi="Times New Roman"/>
                <w:sz w:val="18"/>
                <w:szCs w:val="18"/>
                <w:color w:val="auto"/>
              </w:rPr>
              <w:t>September 30, 2025</w:t>
            </w:r>
          </w:p>
        </w:tc>
        <w:tc>
          <w:tcPr>
            <w:tcW w:w="920" w:type="dxa"/>
            <w:vAlign w:val="bottom"/>
            <w:tcBorders>
              <w:bottom w:val="single" w:sz="8" w:color="DDDDDD"/>
            </w:tcBorders>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7,674,720</w:t>
            </w:r>
          </w:p>
        </w:tc>
        <w:tc>
          <w:tcPr>
            <w:tcW w:w="980" w:type="dxa"/>
            <w:vAlign w:val="bottom"/>
            <w:tcBorders>
              <w:bottom w:val="single" w:sz="8" w:color="DDDDDD"/>
            </w:tcBorders>
            <w:gridSpan w:val="7"/>
          </w:tcPr>
          <w:p>
            <w:pPr>
              <w:jc w:val="right"/>
              <w:spacing w:after="0" w:line="202" w:lineRule="exact"/>
              <w:rPr>
                <w:sz w:val="20"/>
                <w:szCs w:val="20"/>
                <w:color w:val="auto"/>
              </w:rPr>
            </w:pPr>
            <w:r>
              <w:rPr>
                <w:rFonts w:ascii="Times New Roman" w:cs="Times New Roman" w:eastAsia="Times New Roman" w:hAnsi="Times New Roman"/>
                <w:sz w:val="18"/>
                <w:szCs w:val="18"/>
                <w:color w:val="auto"/>
              </w:rPr>
              <w:t>1,108,307</w:t>
            </w:r>
          </w:p>
        </w:tc>
        <w:tc>
          <w:tcPr>
            <w:tcW w:w="16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820" w:type="dxa"/>
            <w:vAlign w:val="bottom"/>
            <w:tcBorders>
              <w:bottom w:val="single" w:sz="8" w:color="DDDDDD"/>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w w:val="99"/>
              </w:rPr>
              <w:t>7,331,428</w:t>
            </w:r>
          </w:p>
        </w:tc>
        <w:tc>
          <w:tcPr>
            <w:tcW w:w="16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90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3,294</w:t>
            </w:r>
          </w:p>
        </w:tc>
        <w:tc>
          <w:tcPr>
            <w:tcW w:w="18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74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887</w:t>
            </w:r>
          </w:p>
        </w:tc>
        <w:tc>
          <w:tcPr>
            <w:tcW w:w="120" w:type="dxa"/>
            <w:vAlign w:val="bottom"/>
            <w:tcBorders>
              <w:bottom w:val="single" w:sz="8" w:color="DDDDDD"/>
            </w:tcBorders>
          </w:tcPr>
          <w:p>
            <w:pPr>
              <w:spacing w:after="0"/>
              <w:rPr>
                <w:sz w:val="17"/>
                <w:szCs w:val="17"/>
                <w:color w:val="auto"/>
              </w:rPr>
            </w:pPr>
          </w:p>
        </w:tc>
        <w:tc>
          <w:tcPr>
            <w:tcW w:w="4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277</w:t>
            </w:r>
          </w:p>
        </w:tc>
        <w:tc>
          <w:tcPr>
            <w:tcW w:w="16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72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4,458</w:t>
            </w:r>
          </w:p>
        </w:tc>
        <w:tc>
          <w:tcPr>
            <w:tcW w:w="80" w:type="dxa"/>
            <w:vAlign w:val="bottom"/>
            <w:tcBorders>
              <w:bottom w:val="single" w:sz="8" w:color="DDDDDD"/>
            </w:tcBorders>
          </w:tcPr>
          <w:p>
            <w:pPr>
              <w:spacing w:after="0"/>
              <w:rPr>
                <w:sz w:val="17"/>
                <w:szCs w:val="17"/>
                <w:color w:val="auto"/>
              </w:rPr>
            </w:pPr>
          </w:p>
        </w:tc>
      </w:tr>
      <w:tr>
        <w:trPr>
          <w:trHeight w:val="212"/>
        </w:trPr>
        <w:tc>
          <w:tcPr>
            <w:tcW w:w="322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June 30, 2025</w:t>
            </w:r>
          </w:p>
        </w:tc>
        <w:tc>
          <w:tcPr>
            <w:tcW w:w="90" w:type="dxa"/>
            <w:vAlign w:val="bottom"/>
            <w:tcBorders>
              <w:bottom w:val="single" w:sz="8" w:color="DDDDDD"/>
            </w:tcBorders>
            <w:shd w:val="clear" w:color="auto" w:fill="DDDDDD"/>
          </w:tcPr>
          <w:p>
            <w:pPr>
              <w:spacing w:after="0"/>
              <w:rPr>
                <w:sz w:val="18"/>
                <w:szCs w:val="18"/>
                <w:color w:val="auto"/>
              </w:rPr>
            </w:pPr>
          </w:p>
        </w:tc>
        <w:tc>
          <w:tcPr>
            <w:tcW w:w="90" w:type="dxa"/>
            <w:vAlign w:val="bottom"/>
            <w:tcBorders>
              <w:bottom w:val="single" w:sz="8" w:color="DDDDDD"/>
            </w:tcBorders>
            <w:shd w:val="clear" w:color="auto" w:fill="DDDDDD"/>
          </w:tcPr>
          <w:p>
            <w:pPr>
              <w:spacing w:after="0"/>
              <w:rPr>
                <w:sz w:val="18"/>
                <w:szCs w:val="18"/>
                <w:color w:val="auto"/>
              </w:rPr>
            </w:pPr>
          </w:p>
        </w:tc>
        <w:tc>
          <w:tcPr>
            <w:tcW w:w="7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99"/>
              </w:rPr>
              <w:t>6,865,727</w:t>
            </w:r>
          </w:p>
        </w:tc>
        <w:tc>
          <w:tcPr>
            <w:tcW w:w="60" w:type="dxa"/>
            <w:vAlign w:val="bottom"/>
            <w:tcBorders>
              <w:bottom w:val="single" w:sz="8" w:color="DDDDDD"/>
            </w:tcBorders>
            <w:shd w:val="clear" w:color="auto" w:fill="DDDDDD"/>
          </w:tcPr>
          <w:p>
            <w:pPr>
              <w:spacing w:after="0"/>
              <w:rPr>
                <w:sz w:val="18"/>
                <w:szCs w:val="18"/>
                <w:color w:val="auto"/>
              </w:rPr>
            </w:pPr>
          </w:p>
        </w:tc>
        <w:tc>
          <w:tcPr>
            <w:tcW w:w="20" w:type="dxa"/>
            <w:vAlign w:val="bottom"/>
            <w:tcBorders>
              <w:bottom w:val="single" w:sz="8" w:color="DDDDDD"/>
            </w:tcBorders>
            <w:shd w:val="clear" w:color="auto" w:fill="DDDDDD"/>
          </w:tcPr>
          <w:p>
            <w:pPr>
              <w:spacing w:after="0"/>
              <w:rPr>
                <w:sz w:val="18"/>
                <w:szCs w:val="18"/>
                <w:color w:val="auto"/>
              </w:rPr>
            </w:pPr>
          </w:p>
        </w:tc>
        <w:tc>
          <w:tcPr>
            <w:tcW w:w="80" w:type="dxa"/>
            <w:vAlign w:val="bottom"/>
            <w:tcBorders>
              <w:bottom w:val="single" w:sz="8" w:color="DDDDDD"/>
            </w:tcBorders>
            <w:shd w:val="clear" w:color="auto" w:fill="DDDDDD"/>
          </w:tcPr>
          <w:p>
            <w:pPr>
              <w:spacing w:after="0"/>
              <w:rPr>
                <w:sz w:val="18"/>
                <w:szCs w:val="18"/>
                <w:color w:val="auto"/>
              </w:rPr>
            </w:pPr>
          </w:p>
        </w:tc>
        <w:tc>
          <w:tcPr>
            <w:tcW w:w="80" w:type="dxa"/>
            <w:vAlign w:val="bottom"/>
            <w:tcBorders>
              <w:bottom w:val="single" w:sz="8" w:color="DDDDDD"/>
            </w:tcBorders>
            <w:shd w:val="clear" w:color="auto" w:fill="DDDDDD"/>
          </w:tcPr>
          <w:p>
            <w:pPr>
              <w:spacing w:after="0"/>
              <w:rPr>
                <w:sz w:val="18"/>
                <w:szCs w:val="18"/>
                <w:color w:val="auto"/>
              </w:rPr>
            </w:pPr>
          </w:p>
        </w:tc>
        <w:tc>
          <w:tcPr>
            <w:tcW w:w="40" w:type="dxa"/>
            <w:vAlign w:val="bottom"/>
            <w:tcBorders>
              <w:bottom w:val="single" w:sz="8" w:color="DDDDDD"/>
            </w:tcBorders>
            <w:gridSpan w:val="2"/>
            <w:shd w:val="clear" w:color="auto" w:fill="DDDDDD"/>
          </w:tcPr>
          <w:p>
            <w:pPr>
              <w:spacing w:after="0"/>
              <w:rPr>
                <w:sz w:val="18"/>
                <w:szCs w:val="18"/>
                <w:color w:val="auto"/>
              </w:rPr>
            </w:pPr>
          </w:p>
        </w:tc>
        <w:tc>
          <w:tcPr>
            <w:tcW w:w="70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94"/>
              </w:rPr>
              <w:t>1,012,986</w:t>
            </w:r>
          </w:p>
        </w:tc>
        <w:tc>
          <w:tcPr>
            <w:tcW w:w="160" w:type="dxa"/>
            <w:vAlign w:val="bottom"/>
            <w:tcBorders>
              <w:bottom w:val="single" w:sz="8" w:color="DDDDDD"/>
            </w:tcBorders>
            <w:shd w:val="clear" w:color="auto" w:fill="DDDDDD"/>
          </w:tcPr>
          <w:p>
            <w:pPr>
              <w:spacing w:after="0"/>
              <w:rPr>
                <w:sz w:val="18"/>
                <w:szCs w:val="18"/>
                <w:color w:val="auto"/>
              </w:rPr>
            </w:pPr>
          </w:p>
        </w:tc>
        <w:tc>
          <w:tcPr>
            <w:tcW w:w="120" w:type="dxa"/>
            <w:vAlign w:val="bottom"/>
            <w:tcBorders>
              <w:bottom w:val="single" w:sz="8" w:color="DDDDDD"/>
            </w:tcBorders>
            <w:shd w:val="clear" w:color="auto" w:fill="DDDDDD"/>
          </w:tcPr>
          <w:p>
            <w:pPr>
              <w:spacing w:after="0"/>
              <w:rPr>
                <w:sz w:val="18"/>
                <w:szCs w:val="18"/>
                <w:color w:val="auto"/>
              </w:rPr>
            </w:pPr>
          </w:p>
        </w:tc>
        <w:tc>
          <w:tcPr>
            <w:tcW w:w="820" w:type="dxa"/>
            <w:vAlign w:val="bottom"/>
            <w:tcBorders>
              <w:bottom w:val="single" w:sz="8" w:color="DDDDDD"/>
            </w:tcBorders>
            <w:shd w:val="clear" w:color="auto" w:fill="DDDDDD"/>
          </w:tcPr>
          <w:p>
            <w:pPr>
              <w:ind w:left="80"/>
              <w:spacing w:after="0" w:line="191" w:lineRule="exact"/>
              <w:rPr>
                <w:sz w:val="20"/>
                <w:szCs w:val="20"/>
                <w:color w:val="auto"/>
              </w:rPr>
            </w:pPr>
            <w:r>
              <w:rPr>
                <w:rFonts w:ascii="Times New Roman" w:cs="Times New Roman" w:eastAsia="Times New Roman" w:hAnsi="Times New Roman"/>
                <w:sz w:val="18"/>
                <w:szCs w:val="18"/>
                <w:color w:val="auto"/>
                <w:highlight w:val="lightGray"/>
                <w:w w:val="99"/>
              </w:rPr>
              <w:t>6,537,260</w:t>
            </w:r>
          </w:p>
        </w:tc>
        <w:tc>
          <w:tcPr>
            <w:tcW w:w="160" w:type="dxa"/>
            <w:vAlign w:val="bottom"/>
            <w:tcBorders>
              <w:bottom w:val="single" w:sz="8" w:color="DDDDDD"/>
            </w:tcBorders>
            <w:shd w:val="clear" w:color="auto" w:fill="DDDDDD"/>
          </w:tcPr>
          <w:p>
            <w:pPr>
              <w:spacing w:after="0"/>
              <w:rPr>
                <w:sz w:val="18"/>
                <w:szCs w:val="18"/>
                <w:color w:val="auto"/>
              </w:rPr>
            </w:pPr>
          </w:p>
        </w:tc>
        <w:tc>
          <w:tcPr>
            <w:tcW w:w="120" w:type="dxa"/>
            <w:vAlign w:val="bottom"/>
            <w:tcBorders>
              <w:bottom w:val="single" w:sz="8" w:color="DDDDDD"/>
            </w:tcBorders>
            <w:shd w:val="clear" w:color="auto" w:fill="DDDDDD"/>
          </w:tcPr>
          <w:p>
            <w:pPr>
              <w:spacing w:after="0"/>
              <w:rPr>
                <w:sz w:val="18"/>
                <w:szCs w:val="18"/>
                <w:color w:val="auto"/>
              </w:rPr>
            </w:pPr>
          </w:p>
        </w:tc>
        <w:tc>
          <w:tcPr>
            <w:tcW w:w="90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2,982</w:t>
            </w:r>
          </w:p>
        </w:tc>
        <w:tc>
          <w:tcPr>
            <w:tcW w:w="180" w:type="dxa"/>
            <w:vAlign w:val="bottom"/>
            <w:tcBorders>
              <w:bottom w:val="single" w:sz="8" w:color="DDDDDD"/>
            </w:tcBorders>
            <w:shd w:val="clear" w:color="auto" w:fill="DDDDDD"/>
          </w:tcPr>
          <w:p>
            <w:pPr>
              <w:spacing w:after="0"/>
              <w:rPr>
                <w:sz w:val="18"/>
                <w:szCs w:val="18"/>
                <w:color w:val="auto"/>
              </w:rPr>
            </w:pPr>
          </w:p>
        </w:tc>
        <w:tc>
          <w:tcPr>
            <w:tcW w:w="80" w:type="dxa"/>
            <w:vAlign w:val="bottom"/>
            <w:tcBorders>
              <w:bottom w:val="single" w:sz="8" w:color="DDDDDD"/>
            </w:tcBorders>
            <w:shd w:val="clear" w:color="auto" w:fill="DDDDDD"/>
          </w:tcPr>
          <w:p>
            <w:pPr>
              <w:spacing w:after="0"/>
              <w:rPr>
                <w:sz w:val="18"/>
                <w:szCs w:val="18"/>
                <w:color w:val="auto"/>
              </w:rPr>
            </w:pPr>
          </w:p>
        </w:tc>
        <w:tc>
          <w:tcPr>
            <w:tcW w:w="7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582</w:t>
            </w:r>
          </w:p>
        </w:tc>
        <w:tc>
          <w:tcPr>
            <w:tcW w:w="120" w:type="dxa"/>
            <w:vAlign w:val="bottom"/>
            <w:tcBorders>
              <w:bottom w:val="single" w:sz="8" w:color="DDDDDD"/>
            </w:tcBorders>
            <w:shd w:val="clear" w:color="auto" w:fill="DDDDDD"/>
          </w:tcPr>
          <w:p>
            <w:pPr>
              <w:spacing w:after="0"/>
              <w:rPr>
                <w:sz w:val="18"/>
                <w:szCs w:val="18"/>
                <w:color w:val="auto"/>
              </w:rPr>
            </w:pPr>
          </w:p>
        </w:tc>
        <w:tc>
          <w:tcPr>
            <w:tcW w:w="4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50" w:type="dxa"/>
            <w:vAlign w:val="bottom"/>
            <w:tcBorders>
              <w:bottom w:val="single" w:sz="8" w:color="DDDDDD"/>
            </w:tcBorders>
            <w:shd w:val="clear" w:color="auto" w:fill="DDDDDD"/>
          </w:tcPr>
          <w:p>
            <w:pPr>
              <w:spacing w:after="0"/>
              <w:rPr>
                <w:sz w:val="18"/>
                <w:szCs w:val="18"/>
                <w:color w:val="auto"/>
              </w:rPr>
            </w:pPr>
          </w:p>
        </w:tc>
        <w:tc>
          <w:tcPr>
            <w:tcW w:w="103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247</w:t>
            </w:r>
          </w:p>
        </w:tc>
        <w:tc>
          <w:tcPr>
            <w:tcW w:w="16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72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3,811</w:t>
            </w:r>
          </w:p>
        </w:tc>
        <w:tc>
          <w:tcPr>
            <w:tcW w:w="80" w:type="dxa"/>
            <w:vAlign w:val="bottom"/>
            <w:tcBorders>
              <w:bottom w:val="single" w:sz="8" w:color="DDDDDD"/>
            </w:tcBorders>
            <w:shd w:val="clear" w:color="auto" w:fill="DDDDDD"/>
          </w:tcPr>
          <w:p>
            <w:pPr>
              <w:spacing w:after="0"/>
              <w:rPr>
                <w:sz w:val="18"/>
                <w:szCs w:val="18"/>
                <w:color w:val="auto"/>
              </w:rPr>
            </w:pPr>
          </w:p>
        </w:tc>
      </w:tr>
      <w:tr>
        <w:trPr>
          <w:trHeight w:val="181"/>
        </w:trPr>
        <w:tc>
          <w:tcPr>
            <w:tcW w:w="3220" w:type="dxa"/>
            <w:vAlign w:val="bottom"/>
            <w:tcBorders>
              <w:bottom w:val="single" w:sz="8" w:color="DDDDDD"/>
            </w:tcBorders>
          </w:tcPr>
          <w:p>
            <w:pPr>
              <w:spacing w:after="0" w:line="182" w:lineRule="exact"/>
              <w:rPr>
                <w:sz w:val="20"/>
                <w:szCs w:val="20"/>
                <w:color w:val="auto"/>
              </w:rPr>
            </w:pPr>
            <w:r>
              <w:rPr>
                <w:rFonts w:ascii="Times New Roman" w:cs="Times New Roman" w:eastAsia="Times New Roman" w:hAnsi="Times New Roman"/>
                <w:sz w:val="18"/>
                <w:szCs w:val="18"/>
                <w:color w:val="auto"/>
              </w:rPr>
              <w:t>March 31, 2025</w:t>
            </w:r>
          </w:p>
        </w:tc>
        <w:tc>
          <w:tcPr>
            <w:tcW w:w="920" w:type="dxa"/>
            <w:vAlign w:val="bottom"/>
            <w:tcBorders>
              <w:bottom w:val="single" w:sz="8" w:color="DDDDDD"/>
            </w:tcBorders>
            <w:gridSpan w:val="3"/>
          </w:tcPr>
          <w:p>
            <w:pPr>
              <w:jc w:val="right"/>
              <w:spacing w:after="0" w:line="182" w:lineRule="exact"/>
              <w:rPr>
                <w:sz w:val="20"/>
                <w:szCs w:val="20"/>
                <w:color w:val="auto"/>
              </w:rPr>
            </w:pPr>
            <w:r>
              <w:rPr>
                <w:rFonts w:ascii="Times New Roman" w:cs="Times New Roman" w:eastAsia="Times New Roman" w:hAnsi="Times New Roman"/>
                <w:sz w:val="18"/>
                <w:szCs w:val="18"/>
                <w:color w:val="auto"/>
              </w:rPr>
              <w:t>5,995,702</w:t>
            </w:r>
          </w:p>
        </w:tc>
        <w:tc>
          <w:tcPr>
            <w:tcW w:w="60" w:type="dxa"/>
            <w:vAlign w:val="bottom"/>
            <w:tcBorders>
              <w:bottom w:val="single" w:sz="8" w:color="DDDDDD"/>
            </w:tcBorders>
          </w:tcPr>
          <w:p>
            <w:pPr>
              <w:spacing w:after="0"/>
              <w:rPr>
                <w:sz w:val="15"/>
                <w:szCs w:val="15"/>
                <w:color w:val="auto"/>
              </w:rPr>
            </w:pPr>
          </w:p>
        </w:tc>
        <w:tc>
          <w:tcPr>
            <w:tcW w:w="20" w:type="dxa"/>
            <w:vAlign w:val="bottom"/>
            <w:tcBorders>
              <w:bottom w:val="single" w:sz="8" w:color="DDDDDD"/>
            </w:tcBorders>
          </w:tcPr>
          <w:p>
            <w:pPr>
              <w:spacing w:after="0"/>
              <w:rPr>
                <w:sz w:val="15"/>
                <w:szCs w:val="15"/>
                <w:color w:val="auto"/>
              </w:rPr>
            </w:pPr>
          </w:p>
        </w:tc>
        <w:tc>
          <w:tcPr>
            <w:tcW w:w="180" w:type="dxa"/>
            <w:vAlign w:val="bottom"/>
            <w:tcBorders>
              <w:bottom w:val="single" w:sz="8" w:color="DDDDDD"/>
            </w:tcBorders>
            <w:gridSpan w:val="3"/>
          </w:tcPr>
          <w:p>
            <w:pPr>
              <w:spacing w:after="0"/>
              <w:rPr>
                <w:sz w:val="15"/>
                <w:szCs w:val="15"/>
                <w:color w:val="auto"/>
              </w:rPr>
            </w:pPr>
          </w:p>
        </w:tc>
        <w:tc>
          <w:tcPr>
            <w:tcW w:w="20" w:type="dxa"/>
            <w:vAlign w:val="bottom"/>
            <w:tcBorders>
              <w:bottom w:val="single" w:sz="8" w:color="DDDDDD"/>
            </w:tcBorders>
          </w:tcPr>
          <w:p>
            <w:pPr>
              <w:spacing w:after="0"/>
              <w:rPr>
                <w:sz w:val="15"/>
                <w:szCs w:val="15"/>
                <w:color w:val="auto"/>
              </w:rPr>
            </w:pPr>
          </w:p>
        </w:tc>
        <w:tc>
          <w:tcPr>
            <w:tcW w:w="700" w:type="dxa"/>
            <w:vAlign w:val="bottom"/>
            <w:tcBorders>
              <w:bottom w:val="single" w:sz="8" w:color="DDDDDD"/>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902,590</w:t>
            </w:r>
          </w:p>
        </w:tc>
        <w:tc>
          <w:tcPr>
            <w:tcW w:w="160" w:type="dxa"/>
            <w:vAlign w:val="bottom"/>
            <w:tcBorders>
              <w:bottom w:val="single" w:sz="8" w:color="DDDDDD"/>
            </w:tcBorders>
          </w:tcPr>
          <w:p>
            <w:pPr>
              <w:spacing w:after="0"/>
              <w:rPr>
                <w:sz w:val="15"/>
                <w:szCs w:val="15"/>
                <w:color w:val="auto"/>
              </w:rPr>
            </w:pPr>
          </w:p>
        </w:tc>
        <w:tc>
          <w:tcPr>
            <w:tcW w:w="120" w:type="dxa"/>
            <w:vAlign w:val="bottom"/>
            <w:tcBorders>
              <w:bottom w:val="single" w:sz="8" w:color="DDDDDD"/>
            </w:tcBorders>
          </w:tcPr>
          <w:p>
            <w:pPr>
              <w:spacing w:after="0"/>
              <w:rPr>
                <w:sz w:val="15"/>
                <w:szCs w:val="15"/>
                <w:color w:val="auto"/>
              </w:rPr>
            </w:pPr>
          </w:p>
        </w:tc>
        <w:tc>
          <w:tcPr>
            <w:tcW w:w="820" w:type="dxa"/>
            <w:vAlign w:val="bottom"/>
            <w:tcBorders>
              <w:bottom w:val="single" w:sz="8" w:color="DDDDDD"/>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w w:val="99"/>
              </w:rPr>
              <w:t>5,722,092</w:t>
            </w:r>
          </w:p>
        </w:tc>
        <w:tc>
          <w:tcPr>
            <w:tcW w:w="160" w:type="dxa"/>
            <w:vAlign w:val="bottom"/>
            <w:tcBorders>
              <w:bottom w:val="single" w:sz="8" w:color="DDDDDD"/>
            </w:tcBorders>
          </w:tcPr>
          <w:p>
            <w:pPr>
              <w:spacing w:after="0"/>
              <w:rPr>
                <w:sz w:val="15"/>
                <w:szCs w:val="15"/>
                <w:color w:val="auto"/>
              </w:rPr>
            </w:pPr>
          </w:p>
        </w:tc>
        <w:tc>
          <w:tcPr>
            <w:tcW w:w="120" w:type="dxa"/>
            <w:vAlign w:val="bottom"/>
            <w:tcBorders>
              <w:bottom w:val="single" w:sz="8" w:color="DDDDDD"/>
            </w:tcBorders>
          </w:tcPr>
          <w:p>
            <w:pPr>
              <w:spacing w:after="0"/>
              <w:rPr>
                <w:sz w:val="15"/>
                <w:szCs w:val="15"/>
                <w:color w:val="auto"/>
              </w:rPr>
            </w:pPr>
          </w:p>
        </w:tc>
        <w:tc>
          <w:tcPr>
            <w:tcW w:w="900" w:type="dxa"/>
            <w:vAlign w:val="bottom"/>
            <w:tcBorders>
              <w:bottom w:val="single" w:sz="8" w:color="DDDDDD"/>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2,747</w:t>
            </w:r>
          </w:p>
        </w:tc>
        <w:tc>
          <w:tcPr>
            <w:tcW w:w="180" w:type="dxa"/>
            <w:vAlign w:val="bottom"/>
            <w:tcBorders>
              <w:bottom w:val="single" w:sz="8" w:color="DDDDDD"/>
            </w:tcBorders>
          </w:tcPr>
          <w:p>
            <w:pPr>
              <w:spacing w:after="0"/>
              <w:rPr>
                <w:sz w:val="15"/>
                <w:szCs w:val="15"/>
                <w:color w:val="auto"/>
              </w:rPr>
            </w:pPr>
          </w:p>
        </w:tc>
        <w:tc>
          <w:tcPr>
            <w:tcW w:w="80" w:type="dxa"/>
            <w:vAlign w:val="bottom"/>
            <w:tcBorders>
              <w:bottom w:val="single" w:sz="8" w:color="DDDDDD"/>
            </w:tcBorders>
          </w:tcPr>
          <w:p>
            <w:pPr>
              <w:spacing w:after="0"/>
              <w:rPr>
                <w:sz w:val="15"/>
                <w:szCs w:val="15"/>
                <w:color w:val="auto"/>
              </w:rPr>
            </w:pPr>
          </w:p>
        </w:tc>
        <w:tc>
          <w:tcPr>
            <w:tcW w:w="740" w:type="dxa"/>
            <w:vAlign w:val="bottom"/>
            <w:tcBorders>
              <w:bottom w:val="single" w:sz="8" w:color="DDDDDD"/>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608</w:t>
            </w:r>
          </w:p>
        </w:tc>
        <w:tc>
          <w:tcPr>
            <w:tcW w:w="120" w:type="dxa"/>
            <w:vAlign w:val="bottom"/>
            <w:tcBorders>
              <w:bottom w:val="single" w:sz="8" w:color="DDDDDD"/>
            </w:tcBorders>
          </w:tcPr>
          <w:p>
            <w:pPr>
              <w:spacing w:after="0"/>
              <w:rPr>
                <w:sz w:val="15"/>
                <w:szCs w:val="15"/>
                <w:color w:val="auto"/>
              </w:rPr>
            </w:pPr>
          </w:p>
        </w:tc>
        <w:tc>
          <w:tcPr>
            <w:tcW w:w="40" w:type="dxa"/>
            <w:vAlign w:val="bottom"/>
            <w:tcBorders>
              <w:bottom w:val="single" w:sz="8" w:color="DDDDDD"/>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1080" w:type="dxa"/>
            <w:vAlign w:val="bottom"/>
            <w:tcBorders>
              <w:bottom w:val="single" w:sz="8" w:color="DDDDDD"/>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227</w:t>
            </w:r>
          </w:p>
        </w:tc>
        <w:tc>
          <w:tcPr>
            <w:tcW w:w="160" w:type="dxa"/>
            <w:vAlign w:val="bottom"/>
            <w:tcBorders>
              <w:bottom w:val="single" w:sz="8" w:color="DDDDDD"/>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720" w:type="dxa"/>
            <w:vAlign w:val="bottom"/>
            <w:tcBorders>
              <w:bottom w:val="single" w:sz="8" w:color="DDDDDD"/>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3,582</w:t>
            </w:r>
          </w:p>
        </w:tc>
        <w:tc>
          <w:tcPr>
            <w:tcW w:w="80" w:type="dxa"/>
            <w:vAlign w:val="bottom"/>
            <w:tcBorders>
              <w:bottom w:val="single" w:sz="8" w:color="DDDDDD"/>
            </w:tcBorders>
          </w:tcPr>
          <w:p>
            <w:pPr>
              <w:spacing w:after="0"/>
              <w:rPr>
                <w:sz w:val="15"/>
                <w:szCs w:val="15"/>
                <w:color w:val="auto"/>
              </w:rPr>
            </w:pPr>
          </w:p>
        </w:tc>
      </w:tr>
      <w:tr>
        <w:trPr>
          <w:trHeight w:val="192"/>
        </w:trPr>
        <w:tc>
          <w:tcPr>
            <w:tcW w:w="3220" w:type="dxa"/>
            <w:vAlign w:val="bottom"/>
            <w:tcBorders>
              <w:bottom w:val="single" w:sz="8" w:color="DDDDDD"/>
            </w:tcBorders>
            <w:shd w:val="clear" w:color="auto" w:fill="DDDDDD"/>
          </w:tcPr>
          <w:p>
            <w:pPr>
              <w:spacing w:after="0" w:line="193" w:lineRule="exact"/>
              <w:rPr>
                <w:sz w:val="20"/>
                <w:szCs w:val="20"/>
                <w:color w:val="auto"/>
              </w:rPr>
            </w:pPr>
            <w:r>
              <w:rPr>
                <w:rFonts w:ascii="Times New Roman" w:cs="Times New Roman" w:eastAsia="Times New Roman" w:hAnsi="Times New Roman"/>
                <w:sz w:val="18"/>
                <w:szCs w:val="18"/>
                <w:color w:val="auto"/>
              </w:rPr>
              <w:t>December 31, 2024</w:t>
            </w:r>
          </w:p>
        </w:tc>
        <w:tc>
          <w:tcPr>
            <w:tcW w:w="90" w:type="dxa"/>
            <w:vAlign w:val="bottom"/>
            <w:tcBorders>
              <w:bottom w:val="single" w:sz="8" w:color="DDDDDD"/>
            </w:tcBorders>
            <w:shd w:val="clear" w:color="auto" w:fill="DDDDDD"/>
          </w:tcPr>
          <w:p>
            <w:pPr>
              <w:spacing w:after="0"/>
              <w:rPr>
                <w:sz w:val="16"/>
                <w:szCs w:val="16"/>
                <w:color w:val="auto"/>
              </w:rPr>
            </w:pPr>
          </w:p>
        </w:tc>
        <w:tc>
          <w:tcPr>
            <w:tcW w:w="9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highlight w:val="lightGray"/>
                <w:w w:val="99"/>
              </w:rPr>
              <w:t>5,348,057</w:t>
            </w:r>
          </w:p>
        </w:tc>
        <w:tc>
          <w:tcPr>
            <w:tcW w:w="60" w:type="dxa"/>
            <w:vAlign w:val="bottom"/>
            <w:tcBorders>
              <w:bottom w:val="single" w:sz="8" w:color="DDDDDD"/>
            </w:tcBorders>
            <w:shd w:val="clear" w:color="auto" w:fill="DDDDDD"/>
          </w:tcPr>
          <w:p>
            <w:pPr>
              <w:spacing w:after="0"/>
              <w:rPr>
                <w:sz w:val="16"/>
                <w:szCs w:val="16"/>
                <w:color w:val="auto"/>
              </w:rPr>
            </w:pPr>
          </w:p>
        </w:tc>
        <w:tc>
          <w:tcPr>
            <w:tcW w:w="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40" w:type="dxa"/>
            <w:vAlign w:val="bottom"/>
            <w:tcBorders>
              <w:bottom w:val="single" w:sz="8" w:color="DDDDDD"/>
            </w:tcBorders>
            <w:gridSpan w:val="2"/>
            <w:shd w:val="clear" w:color="auto" w:fill="DDDDDD"/>
          </w:tcPr>
          <w:p>
            <w:pPr>
              <w:spacing w:after="0"/>
              <w:rPr>
                <w:sz w:val="16"/>
                <w:szCs w:val="16"/>
                <w:color w:val="auto"/>
              </w:rPr>
            </w:pPr>
          </w:p>
        </w:tc>
        <w:tc>
          <w:tcPr>
            <w:tcW w:w="70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817,241</w:t>
            </w:r>
          </w:p>
        </w:tc>
        <w:tc>
          <w:tcPr>
            <w:tcW w:w="16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820" w:type="dxa"/>
            <w:vAlign w:val="bottom"/>
            <w:tcBorders>
              <w:bottom w:val="single" w:sz="8" w:color="DDDDDD"/>
            </w:tcBorders>
            <w:shd w:val="clear" w:color="auto" w:fill="DDDDDD"/>
          </w:tcPr>
          <w:p>
            <w:pPr>
              <w:ind w:left="80"/>
              <w:spacing w:after="0" w:line="193" w:lineRule="exact"/>
              <w:rPr>
                <w:sz w:val="20"/>
                <w:szCs w:val="20"/>
                <w:color w:val="auto"/>
              </w:rPr>
            </w:pPr>
            <w:r>
              <w:rPr>
                <w:rFonts w:ascii="Times New Roman" w:cs="Times New Roman" w:eastAsia="Times New Roman" w:hAnsi="Times New Roman"/>
                <w:sz w:val="18"/>
                <w:szCs w:val="18"/>
                <w:color w:val="auto"/>
                <w:highlight w:val="lightGray"/>
                <w:w w:val="99"/>
              </w:rPr>
              <w:t>5,128,207</w:t>
            </w:r>
          </w:p>
        </w:tc>
        <w:tc>
          <w:tcPr>
            <w:tcW w:w="16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90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2,488</w:t>
            </w:r>
          </w:p>
        </w:tc>
        <w:tc>
          <w:tcPr>
            <w:tcW w:w="18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677</w:t>
            </w:r>
          </w:p>
        </w:tc>
        <w:tc>
          <w:tcPr>
            <w:tcW w:w="120" w:type="dxa"/>
            <w:vAlign w:val="bottom"/>
            <w:tcBorders>
              <w:bottom w:val="single" w:sz="8" w:color="DDDDDD"/>
            </w:tcBorders>
            <w:shd w:val="clear" w:color="auto" w:fill="DDDDDD"/>
          </w:tcPr>
          <w:p>
            <w:pPr>
              <w:spacing w:after="0"/>
              <w:rPr>
                <w:sz w:val="16"/>
                <w:szCs w:val="16"/>
                <w:color w:val="auto"/>
              </w:rPr>
            </w:pPr>
          </w:p>
        </w:tc>
        <w:tc>
          <w:tcPr>
            <w:tcW w:w="4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50" w:type="dxa"/>
            <w:vAlign w:val="bottom"/>
            <w:tcBorders>
              <w:bottom w:val="single" w:sz="8" w:color="DDDDDD"/>
            </w:tcBorders>
            <w:shd w:val="clear" w:color="auto" w:fill="DDDDDD"/>
          </w:tcPr>
          <w:p>
            <w:pPr>
              <w:spacing w:after="0"/>
              <w:rPr>
                <w:sz w:val="16"/>
                <w:szCs w:val="16"/>
                <w:color w:val="auto"/>
              </w:rPr>
            </w:pPr>
          </w:p>
        </w:tc>
        <w:tc>
          <w:tcPr>
            <w:tcW w:w="103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222</w:t>
            </w:r>
          </w:p>
        </w:tc>
        <w:tc>
          <w:tcPr>
            <w:tcW w:w="16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72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3,387</w:t>
            </w:r>
          </w:p>
        </w:tc>
        <w:tc>
          <w:tcPr>
            <w:tcW w:w="80" w:type="dxa"/>
            <w:vAlign w:val="bottom"/>
            <w:tcBorders>
              <w:bottom w:val="single" w:sz="8" w:color="DDDDDD"/>
            </w:tcBorders>
            <w:shd w:val="clear" w:color="auto" w:fill="DDDDDD"/>
          </w:tcPr>
          <w:p>
            <w:pPr>
              <w:spacing w:after="0"/>
              <w:rPr>
                <w:sz w:val="16"/>
                <w:szCs w:val="16"/>
                <w:color w:val="auto"/>
              </w:rPr>
            </w:pPr>
          </w:p>
        </w:tc>
      </w:tr>
      <w:tr>
        <w:trPr>
          <w:trHeight w:val="202"/>
        </w:trPr>
        <w:tc>
          <w:tcPr>
            <w:tcW w:w="3220" w:type="dxa"/>
            <w:vAlign w:val="bottom"/>
            <w:tcBorders>
              <w:bottom w:val="single" w:sz="8" w:color="DDDDDD"/>
            </w:tcBorders>
          </w:tcPr>
          <w:p>
            <w:pPr>
              <w:spacing w:after="0" w:line="202" w:lineRule="exact"/>
              <w:rPr>
                <w:sz w:val="20"/>
                <w:szCs w:val="20"/>
                <w:color w:val="auto"/>
              </w:rPr>
            </w:pPr>
            <w:r>
              <w:rPr>
                <w:rFonts w:ascii="Times New Roman" w:cs="Times New Roman" w:eastAsia="Times New Roman" w:hAnsi="Times New Roman"/>
                <w:sz w:val="18"/>
                <w:szCs w:val="18"/>
                <w:color w:val="auto"/>
              </w:rPr>
              <w:t>September 30, 2024</w:t>
            </w:r>
          </w:p>
        </w:tc>
        <w:tc>
          <w:tcPr>
            <w:tcW w:w="920" w:type="dxa"/>
            <w:vAlign w:val="bottom"/>
            <w:tcBorders>
              <w:bottom w:val="single" w:sz="8" w:color="DDDDDD"/>
            </w:tcBorders>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4,984,279</w:t>
            </w:r>
          </w:p>
        </w:tc>
        <w:tc>
          <w:tcPr>
            <w:tcW w:w="980" w:type="dxa"/>
            <w:vAlign w:val="bottom"/>
            <w:tcBorders>
              <w:bottom w:val="single" w:sz="8" w:color="DDDDDD"/>
            </w:tcBorders>
            <w:gridSpan w:val="7"/>
          </w:tcPr>
          <w:p>
            <w:pPr>
              <w:jc w:val="right"/>
              <w:spacing w:after="0" w:line="202" w:lineRule="exact"/>
              <w:rPr>
                <w:sz w:val="20"/>
                <w:szCs w:val="20"/>
                <w:color w:val="auto"/>
              </w:rPr>
            </w:pPr>
            <w:r>
              <w:rPr>
                <w:rFonts w:ascii="Times New Roman" w:cs="Times New Roman" w:eastAsia="Times New Roman" w:hAnsi="Times New Roman"/>
                <w:sz w:val="18"/>
                <w:szCs w:val="18"/>
                <w:color w:val="auto"/>
              </w:rPr>
              <w:t>780,010</w:t>
            </w:r>
          </w:p>
        </w:tc>
        <w:tc>
          <w:tcPr>
            <w:tcW w:w="16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820" w:type="dxa"/>
            <w:vAlign w:val="bottom"/>
            <w:tcBorders>
              <w:bottom w:val="single" w:sz="8" w:color="DDDDDD"/>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w w:val="99"/>
              </w:rPr>
              <w:t>4,788,287</w:t>
            </w:r>
          </w:p>
        </w:tc>
        <w:tc>
          <w:tcPr>
            <w:tcW w:w="16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90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2,448</w:t>
            </w:r>
          </w:p>
        </w:tc>
        <w:tc>
          <w:tcPr>
            <w:tcW w:w="18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74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637</w:t>
            </w:r>
          </w:p>
        </w:tc>
        <w:tc>
          <w:tcPr>
            <w:tcW w:w="120" w:type="dxa"/>
            <w:vAlign w:val="bottom"/>
            <w:tcBorders>
              <w:bottom w:val="single" w:sz="8" w:color="DDDDDD"/>
            </w:tcBorders>
          </w:tcPr>
          <w:p>
            <w:pPr>
              <w:spacing w:after="0"/>
              <w:rPr>
                <w:sz w:val="17"/>
                <w:szCs w:val="17"/>
                <w:color w:val="auto"/>
              </w:rPr>
            </w:pPr>
          </w:p>
        </w:tc>
        <w:tc>
          <w:tcPr>
            <w:tcW w:w="4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216</w:t>
            </w:r>
          </w:p>
        </w:tc>
        <w:tc>
          <w:tcPr>
            <w:tcW w:w="16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72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3,301</w:t>
            </w:r>
          </w:p>
        </w:tc>
        <w:tc>
          <w:tcPr>
            <w:tcW w:w="80" w:type="dxa"/>
            <w:vAlign w:val="bottom"/>
            <w:tcBorders>
              <w:bottom w:val="single" w:sz="8" w:color="DDDDDD"/>
            </w:tcBorders>
          </w:tcPr>
          <w:p>
            <w:pPr>
              <w:spacing w:after="0"/>
              <w:rPr>
                <w:sz w:val="17"/>
                <w:szCs w:val="17"/>
                <w:color w:val="auto"/>
              </w:rPr>
            </w:pPr>
          </w:p>
        </w:tc>
      </w:tr>
      <w:tr>
        <w:trPr>
          <w:trHeight w:val="192"/>
        </w:trPr>
        <w:tc>
          <w:tcPr>
            <w:tcW w:w="3220" w:type="dxa"/>
            <w:vAlign w:val="bottom"/>
            <w:tcBorders>
              <w:bottom w:val="single" w:sz="8" w:color="DDDDDD"/>
            </w:tcBorders>
            <w:shd w:val="clear" w:color="auto" w:fill="DDDDDD"/>
          </w:tcPr>
          <w:p>
            <w:pPr>
              <w:spacing w:after="0" w:line="193" w:lineRule="exact"/>
              <w:rPr>
                <w:sz w:val="20"/>
                <w:szCs w:val="20"/>
                <w:color w:val="auto"/>
              </w:rPr>
            </w:pPr>
            <w:r>
              <w:rPr>
                <w:rFonts w:ascii="Times New Roman" w:cs="Times New Roman" w:eastAsia="Times New Roman" w:hAnsi="Times New Roman"/>
                <w:sz w:val="18"/>
                <w:szCs w:val="18"/>
                <w:color w:val="auto"/>
              </w:rPr>
              <w:t>June 30, 2024</w:t>
            </w:r>
          </w:p>
        </w:tc>
        <w:tc>
          <w:tcPr>
            <w:tcW w:w="90" w:type="dxa"/>
            <w:vAlign w:val="bottom"/>
            <w:tcBorders>
              <w:bottom w:val="single" w:sz="8" w:color="DDDDDD"/>
            </w:tcBorders>
            <w:shd w:val="clear" w:color="auto" w:fill="DDDDDD"/>
          </w:tcPr>
          <w:p>
            <w:pPr>
              <w:spacing w:after="0"/>
              <w:rPr>
                <w:sz w:val="16"/>
                <w:szCs w:val="16"/>
                <w:color w:val="auto"/>
              </w:rPr>
            </w:pPr>
          </w:p>
        </w:tc>
        <w:tc>
          <w:tcPr>
            <w:tcW w:w="9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highlight w:val="lightGray"/>
                <w:w w:val="99"/>
              </w:rPr>
              <w:t>4,203,416</w:t>
            </w:r>
          </w:p>
        </w:tc>
        <w:tc>
          <w:tcPr>
            <w:tcW w:w="60" w:type="dxa"/>
            <w:vAlign w:val="bottom"/>
            <w:tcBorders>
              <w:bottom w:val="single" w:sz="8" w:color="DDDDDD"/>
            </w:tcBorders>
            <w:shd w:val="clear" w:color="auto" w:fill="DDDDDD"/>
          </w:tcPr>
          <w:p>
            <w:pPr>
              <w:spacing w:after="0"/>
              <w:rPr>
                <w:sz w:val="16"/>
                <w:szCs w:val="16"/>
                <w:color w:val="auto"/>
              </w:rPr>
            </w:pPr>
          </w:p>
        </w:tc>
        <w:tc>
          <w:tcPr>
            <w:tcW w:w="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20" w:type="dxa"/>
            <w:vAlign w:val="bottom"/>
            <w:tcBorders>
              <w:bottom w:val="single" w:sz="8" w:color="DDDDDD"/>
            </w:tcBorders>
            <w:shd w:val="clear" w:color="auto" w:fill="DDDDDD"/>
          </w:tcPr>
          <w:p>
            <w:pPr>
              <w:spacing w:after="0"/>
              <w:rPr>
                <w:sz w:val="16"/>
                <w:szCs w:val="16"/>
                <w:color w:val="auto"/>
              </w:rPr>
            </w:pPr>
          </w:p>
        </w:tc>
        <w:tc>
          <w:tcPr>
            <w:tcW w:w="20" w:type="dxa"/>
            <w:vAlign w:val="bottom"/>
            <w:tcBorders>
              <w:bottom w:val="single" w:sz="8" w:color="DDDDDD"/>
            </w:tcBorders>
            <w:shd w:val="clear" w:color="auto" w:fill="DDDDDD"/>
          </w:tcPr>
          <w:p>
            <w:pPr>
              <w:spacing w:after="0"/>
              <w:rPr>
                <w:sz w:val="16"/>
                <w:szCs w:val="16"/>
                <w:color w:val="auto"/>
              </w:rPr>
            </w:pPr>
          </w:p>
        </w:tc>
        <w:tc>
          <w:tcPr>
            <w:tcW w:w="70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699,766</w:t>
            </w:r>
          </w:p>
        </w:tc>
        <w:tc>
          <w:tcPr>
            <w:tcW w:w="16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820" w:type="dxa"/>
            <w:vAlign w:val="bottom"/>
            <w:tcBorders>
              <w:bottom w:val="single" w:sz="8" w:color="DDDDDD"/>
            </w:tcBorders>
            <w:shd w:val="clear" w:color="auto" w:fill="DDDDDD"/>
          </w:tcPr>
          <w:p>
            <w:pPr>
              <w:ind w:left="80"/>
              <w:spacing w:after="0" w:line="193" w:lineRule="exact"/>
              <w:rPr>
                <w:sz w:val="20"/>
                <w:szCs w:val="20"/>
                <w:color w:val="auto"/>
              </w:rPr>
            </w:pPr>
            <w:r>
              <w:rPr>
                <w:rFonts w:ascii="Times New Roman" w:cs="Times New Roman" w:eastAsia="Times New Roman" w:hAnsi="Times New Roman"/>
                <w:sz w:val="18"/>
                <w:szCs w:val="18"/>
                <w:color w:val="auto"/>
                <w:highlight w:val="lightGray"/>
                <w:w w:val="99"/>
              </w:rPr>
              <w:t>4,028,601</w:t>
            </w:r>
          </w:p>
        </w:tc>
        <w:tc>
          <w:tcPr>
            <w:tcW w:w="16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90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2,257</w:t>
            </w:r>
          </w:p>
        </w:tc>
        <w:tc>
          <w:tcPr>
            <w:tcW w:w="18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732</w:t>
            </w:r>
          </w:p>
        </w:tc>
        <w:tc>
          <w:tcPr>
            <w:tcW w:w="120" w:type="dxa"/>
            <w:vAlign w:val="bottom"/>
            <w:tcBorders>
              <w:bottom w:val="single" w:sz="8" w:color="DDDDDD"/>
            </w:tcBorders>
            <w:shd w:val="clear" w:color="auto" w:fill="DDDDDD"/>
          </w:tcPr>
          <w:p>
            <w:pPr>
              <w:spacing w:after="0"/>
              <w:rPr>
                <w:sz w:val="16"/>
                <w:szCs w:val="16"/>
                <w:color w:val="auto"/>
              </w:rPr>
            </w:pPr>
          </w:p>
        </w:tc>
        <w:tc>
          <w:tcPr>
            <w:tcW w:w="4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50" w:type="dxa"/>
            <w:vAlign w:val="bottom"/>
            <w:tcBorders>
              <w:bottom w:val="single" w:sz="8" w:color="DDDDDD"/>
            </w:tcBorders>
            <w:shd w:val="clear" w:color="auto" w:fill="DDDDDD"/>
          </w:tcPr>
          <w:p>
            <w:pPr>
              <w:spacing w:after="0"/>
              <w:rPr>
                <w:sz w:val="16"/>
                <w:szCs w:val="16"/>
                <w:color w:val="auto"/>
              </w:rPr>
            </w:pPr>
          </w:p>
        </w:tc>
        <w:tc>
          <w:tcPr>
            <w:tcW w:w="103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178</w:t>
            </w:r>
          </w:p>
        </w:tc>
        <w:tc>
          <w:tcPr>
            <w:tcW w:w="16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72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3,167</w:t>
            </w:r>
          </w:p>
        </w:tc>
        <w:tc>
          <w:tcPr>
            <w:tcW w:w="80" w:type="dxa"/>
            <w:vAlign w:val="bottom"/>
            <w:tcBorders>
              <w:bottom w:val="single" w:sz="8" w:color="DDDDDD"/>
            </w:tcBorders>
            <w:shd w:val="clear" w:color="auto" w:fill="DDDDDD"/>
          </w:tcPr>
          <w:p>
            <w:pPr>
              <w:spacing w:after="0"/>
              <w:rPr>
                <w:sz w:val="16"/>
                <w:szCs w:val="16"/>
                <w:color w:val="auto"/>
              </w:rPr>
            </w:pPr>
          </w:p>
        </w:tc>
      </w:tr>
      <w:tr>
        <w:trPr>
          <w:trHeight w:val="229"/>
        </w:trPr>
        <w:tc>
          <w:tcPr>
            <w:tcW w:w="3220" w:type="dxa"/>
            <w:vAlign w:val="bottom"/>
            <w:tcBorders>
              <w:bottom w:val="single" w:sz="8" w:color="auto"/>
            </w:tcBorders>
          </w:tcPr>
          <w:p>
            <w:pPr>
              <w:spacing w:after="0" w:line="204" w:lineRule="exact"/>
              <w:rPr>
                <w:sz w:val="20"/>
                <w:szCs w:val="20"/>
                <w:color w:val="auto"/>
              </w:rPr>
            </w:pPr>
            <w:r>
              <w:rPr>
                <w:rFonts w:ascii="Times New Roman" w:cs="Times New Roman" w:eastAsia="Times New Roman" w:hAnsi="Times New Roman"/>
                <w:sz w:val="18"/>
                <w:szCs w:val="18"/>
                <w:color w:val="auto"/>
              </w:rPr>
              <w:t>March 31, 2024</w:t>
            </w:r>
          </w:p>
        </w:tc>
        <w:tc>
          <w:tcPr>
            <w:tcW w:w="920" w:type="dxa"/>
            <w:vAlign w:val="bottom"/>
            <w:tcBorders>
              <w:bottom w:val="single" w:sz="8" w:color="auto"/>
            </w:tcBorders>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auto"/>
              </w:rPr>
              <w:t>3,887,545</w:t>
            </w:r>
          </w:p>
        </w:tc>
        <w:tc>
          <w:tcPr>
            <w:tcW w:w="980" w:type="dxa"/>
            <w:vAlign w:val="bottom"/>
            <w:tcBorders>
              <w:bottom w:val="single" w:sz="8" w:color="auto"/>
            </w:tcBorders>
            <w:gridSpan w:val="7"/>
          </w:tcPr>
          <w:p>
            <w:pPr>
              <w:jc w:val="right"/>
              <w:spacing w:after="0" w:line="204" w:lineRule="exact"/>
              <w:rPr>
                <w:sz w:val="20"/>
                <w:szCs w:val="20"/>
                <w:color w:val="auto"/>
              </w:rPr>
            </w:pPr>
            <w:r>
              <w:rPr>
                <w:rFonts w:ascii="Times New Roman" w:cs="Times New Roman" w:eastAsia="Times New Roman" w:hAnsi="Times New Roman"/>
                <w:sz w:val="18"/>
                <w:szCs w:val="18"/>
                <w:color w:val="auto"/>
              </w:rPr>
              <w:t>672,057</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80"/>
              <w:spacing w:after="0" w:line="204" w:lineRule="exact"/>
              <w:rPr>
                <w:sz w:val="20"/>
                <w:szCs w:val="20"/>
                <w:color w:val="auto"/>
              </w:rPr>
            </w:pPr>
            <w:r>
              <w:rPr>
                <w:rFonts w:ascii="Times New Roman" w:cs="Times New Roman" w:eastAsia="Times New Roman" w:hAnsi="Times New Roman"/>
                <w:sz w:val="18"/>
                <w:szCs w:val="18"/>
                <w:color w:val="auto"/>
                <w:w w:val="99"/>
              </w:rPr>
              <w:t>3,708,573</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2,161</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598</w:t>
            </w: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170</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2,929</w:t>
            </w:r>
          </w:p>
        </w:tc>
        <w:tc>
          <w:tcPr>
            <w:tcW w:w="80" w:type="dxa"/>
            <w:vAlign w:val="bottom"/>
            <w:tcBorders>
              <w:bottom w:val="single" w:sz="8" w:color="auto"/>
            </w:tcBorders>
          </w:tcPr>
          <w:p>
            <w:pPr>
              <w:spacing w:after="0"/>
              <w:rPr>
                <w:sz w:val="19"/>
                <w:szCs w:val="19"/>
                <w:color w:val="auto"/>
              </w:rPr>
            </w:pPr>
          </w:p>
        </w:tc>
      </w:tr>
      <w:tr>
        <w:trPr>
          <w:trHeight w:val="185"/>
        </w:trPr>
        <w:tc>
          <w:tcPr>
            <w:tcW w:w="3220" w:type="dxa"/>
            <w:vAlign w:val="bottom"/>
            <w:tcBorders>
              <w:top w:val="single" w:sz="8" w:color="DDDDDD"/>
              <w:bottom w:val="single" w:sz="8" w:color="auto"/>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Years Ended</w:t>
            </w:r>
          </w:p>
        </w:tc>
        <w:tc>
          <w:tcPr>
            <w:tcW w:w="90" w:type="dxa"/>
            <w:vAlign w:val="bottom"/>
            <w:tcBorders>
              <w:top w:val="single" w:sz="8" w:color="DDDDDD"/>
              <w:bottom w:val="single" w:sz="8" w:color="auto"/>
            </w:tcBorders>
            <w:shd w:val="clear" w:color="auto" w:fill="DDDDDD"/>
          </w:tcPr>
          <w:p>
            <w:pPr>
              <w:spacing w:after="0"/>
              <w:rPr>
                <w:sz w:val="16"/>
                <w:szCs w:val="16"/>
                <w:color w:val="auto"/>
              </w:rPr>
            </w:pPr>
          </w:p>
        </w:tc>
        <w:tc>
          <w:tcPr>
            <w:tcW w:w="90" w:type="dxa"/>
            <w:vAlign w:val="bottom"/>
            <w:tcBorders>
              <w:top w:val="single" w:sz="8" w:color="DDDDDD"/>
              <w:bottom w:val="single" w:sz="8" w:color="auto"/>
            </w:tcBorders>
            <w:shd w:val="clear" w:color="auto" w:fill="DDDDDD"/>
          </w:tcPr>
          <w:p>
            <w:pPr>
              <w:spacing w:after="0"/>
              <w:rPr>
                <w:sz w:val="16"/>
                <w:szCs w:val="16"/>
                <w:color w:val="auto"/>
              </w:rPr>
            </w:pPr>
          </w:p>
        </w:tc>
        <w:tc>
          <w:tcPr>
            <w:tcW w:w="740" w:type="dxa"/>
            <w:vAlign w:val="bottom"/>
            <w:tcBorders>
              <w:top w:val="single" w:sz="8" w:color="DDDDDD"/>
              <w:bottom w:val="single" w:sz="8" w:color="auto"/>
            </w:tcBorders>
            <w:shd w:val="clear" w:color="auto" w:fill="DDDDDD"/>
          </w:tcPr>
          <w:p>
            <w:pPr>
              <w:spacing w:after="0"/>
              <w:rPr>
                <w:sz w:val="16"/>
                <w:szCs w:val="16"/>
                <w:color w:val="auto"/>
              </w:rPr>
            </w:pPr>
          </w:p>
        </w:tc>
        <w:tc>
          <w:tcPr>
            <w:tcW w:w="60" w:type="dxa"/>
            <w:vAlign w:val="bottom"/>
            <w:tcBorders>
              <w:top w:val="single" w:sz="8" w:color="DDDDDD"/>
              <w:bottom w:val="single" w:sz="8" w:color="auto"/>
            </w:tcBorders>
            <w:shd w:val="clear" w:color="auto" w:fill="DDDDDD"/>
          </w:tcPr>
          <w:p>
            <w:pPr>
              <w:spacing w:after="0"/>
              <w:rPr>
                <w:sz w:val="16"/>
                <w:szCs w:val="16"/>
                <w:color w:val="auto"/>
              </w:rPr>
            </w:pPr>
          </w:p>
        </w:tc>
        <w:tc>
          <w:tcPr>
            <w:tcW w:w="20" w:type="dxa"/>
            <w:vAlign w:val="bottom"/>
            <w:tcBorders>
              <w:top w:val="single" w:sz="8" w:color="DDDDDD"/>
              <w:bottom w:val="single" w:sz="8" w:color="auto"/>
            </w:tcBorders>
            <w:shd w:val="clear" w:color="auto" w:fill="DDDDDD"/>
          </w:tcPr>
          <w:p>
            <w:pPr>
              <w:spacing w:after="0"/>
              <w:rPr>
                <w:sz w:val="16"/>
                <w:szCs w:val="16"/>
                <w:color w:val="auto"/>
              </w:rPr>
            </w:pPr>
          </w:p>
        </w:tc>
        <w:tc>
          <w:tcPr>
            <w:tcW w:w="80" w:type="dxa"/>
            <w:vAlign w:val="bottom"/>
            <w:tcBorders>
              <w:top w:val="single" w:sz="8" w:color="DDDDDD"/>
              <w:bottom w:val="single" w:sz="8" w:color="auto"/>
            </w:tcBorders>
            <w:shd w:val="clear" w:color="auto" w:fill="DDDDDD"/>
          </w:tcPr>
          <w:p>
            <w:pPr>
              <w:spacing w:after="0"/>
              <w:rPr>
                <w:sz w:val="16"/>
                <w:szCs w:val="16"/>
                <w:color w:val="auto"/>
              </w:rPr>
            </w:pPr>
          </w:p>
        </w:tc>
        <w:tc>
          <w:tcPr>
            <w:tcW w:w="80" w:type="dxa"/>
            <w:vAlign w:val="bottom"/>
            <w:tcBorders>
              <w:top w:val="single" w:sz="8" w:color="DDDDDD"/>
              <w:bottom w:val="single" w:sz="8" w:color="auto"/>
            </w:tcBorders>
            <w:shd w:val="clear" w:color="auto" w:fill="DDDDDD"/>
          </w:tcPr>
          <w:p>
            <w:pPr>
              <w:spacing w:after="0"/>
              <w:rPr>
                <w:sz w:val="16"/>
                <w:szCs w:val="16"/>
                <w:color w:val="auto"/>
              </w:rPr>
            </w:pPr>
          </w:p>
        </w:tc>
        <w:tc>
          <w:tcPr>
            <w:tcW w:w="20" w:type="dxa"/>
            <w:vAlign w:val="bottom"/>
            <w:tcBorders>
              <w:top w:val="single" w:sz="8" w:color="DDDDDD"/>
              <w:bottom w:val="single" w:sz="8" w:color="auto"/>
            </w:tcBorders>
            <w:shd w:val="clear" w:color="auto" w:fill="DDDDDD"/>
          </w:tcPr>
          <w:p>
            <w:pPr>
              <w:spacing w:after="0"/>
              <w:rPr>
                <w:sz w:val="16"/>
                <w:szCs w:val="16"/>
                <w:color w:val="auto"/>
              </w:rPr>
            </w:pPr>
          </w:p>
        </w:tc>
        <w:tc>
          <w:tcPr>
            <w:tcW w:w="20" w:type="dxa"/>
            <w:vAlign w:val="bottom"/>
            <w:tcBorders>
              <w:top w:val="single" w:sz="8" w:color="DDDDDD"/>
              <w:bottom w:val="single" w:sz="8" w:color="auto"/>
            </w:tcBorders>
            <w:shd w:val="clear" w:color="auto" w:fill="DDDDDD"/>
          </w:tcPr>
          <w:p>
            <w:pPr>
              <w:spacing w:after="0"/>
              <w:rPr>
                <w:sz w:val="16"/>
                <w:szCs w:val="16"/>
                <w:color w:val="auto"/>
              </w:rPr>
            </w:pPr>
          </w:p>
        </w:tc>
        <w:tc>
          <w:tcPr>
            <w:tcW w:w="700" w:type="dxa"/>
            <w:vAlign w:val="bottom"/>
            <w:tcBorders>
              <w:top w:val="single" w:sz="8" w:color="DDDDDD"/>
              <w:bottom w:val="single" w:sz="8" w:color="auto"/>
            </w:tcBorders>
            <w:shd w:val="clear" w:color="auto" w:fill="DDDDDD"/>
          </w:tcPr>
          <w:p>
            <w:pPr>
              <w:spacing w:after="0"/>
              <w:rPr>
                <w:sz w:val="16"/>
                <w:szCs w:val="16"/>
                <w:color w:val="auto"/>
              </w:rPr>
            </w:pPr>
          </w:p>
        </w:tc>
        <w:tc>
          <w:tcPr>
            <w:tcW w:w="160" w:type="dxa"/>
            <w:vAlign w:val="bottom"/>
            <w:tcBorders>
              <w:top w:val="single" w:sz="8" w:color="DDDDDD"/>
              <w:bottom w:val="single" w:sz="8" w:color="auto"/>
            </w:tcBorders>
            <w:shd w:val="clear" w:color="auto" w:fill="DDDDDD"/>
          </w:tcPr>
          <w:p>
            <w:pPr>
              <w:spacing w:after="0"/>
              <w:rPr>
                <w:sz w:val="16"/>
                <w:szCs w:val="16"/>
                <w:color w:val="auto"/>
              </w:rPr>
            </w:pPr>
          </w:p>
        </w:tc>
        <w:tc>
          <w:tcPr>
            <w:tcW w:w="120" w:type="dxa"/>
            <w:vAlign w:val="bottom"/>
            <w:tcBorders>
              <w:top w:val="single" w:sz="8" w:color="DDDDDD"/>
              <w:bottom w:val="single" w:sz="8" w:color="auto"/>
            </w:tcBorders>
            <w:shd w:val="clear" w:color="auto" w:fill="DDDDDD"/>
          </w:tcPr>
          <w:p>
            <w:pPr>
              <w:spacing w:after="0"/>
              <w:rPr>
                <w:sz w:val="16"/>
                <w:szCs w:val="16"/>
                <w:color w:val="auto"/>
              </w:rPr>
            </w:pPr>
          </w:p>
        </w:tc>
        <w:tc>
          <w:tcPr>
            <w:tcW w:w="820" w:type="dxa"/>
            <w:vAlign w:val="bottom"/>
            <w:tcBorders>
              <w:top w:val="single" w:sz="8" w:color="DDDDDD"/>
              <w:bottom w:val="single" w:sz="8" w:color="auto"/>
            </w:tcBorders>
            <w:shd w:val="clear" w:color="auto" w:fill="DDDDDD"/>
          </w:tcPr>
          <w:p>
            <w:pPr>
              <w:spacing w:after="0"/>
              <w:rPr>
                <w:sz w:val="16"/>
                <w:szCs w:val="16"/>
                <w:color w:val="auto"/>
              </w:rPr>
            </w:pPr>
          </w:p>
        </w:tc>
        <w:tc>
          <w:tcPr>
            <w:tcW w:w="160" w:type="dxa"/>
            <w:vAlign w:val="bottom"/>
            <w:tcBorders>
              <w:top w:val="single" w:sz="8" w:color="DDDDDD"/>
              <w:bottom w:val="single" w:sz="8" w:color="auto"/>
            </w:tcBorders>
            <w:shd w:val="clear" w:color="auto" w:fill="DDDDDD"/>
          </w:tcPr>
          <w:p>
            <w:pPr>
              <w:spacing w:after="0"/>
              <w:rPr>
                <w:sz w:val="16"/>
                <w:szCs w:val="16"/>
                <w:color w:val="auto"/>
              </w:rPr>
            </w:pPr>
          </w:p>
        </w:tc>
        <w:tc>
          <w:tcPr>
            <w:tcW w:w="120" w:type="dxa"/>
            <w:vAlign w:val="bottom"/>
            <w:tcBorders>
              <w:top w:val="single" w:sz="8" w:color="DDDDDD"/>
              <w:bottom w:val="single" w:sz="8" w:color="auto"/>
            </w:tcBorders>
            <w:shd w:val="clear" w:color="auto" w:fill="DDDDDD"/>
          </w:tcPr>
          <w:p>
            <w:pPr>
              <w:spacing w:after="0"/>
              <w:rPr>
                <w:sz w:val="16"/>
                <w:szCs w:val="16"/>
                <w:color w:val="auto"/>
              </w:rPr>
            </w:pPr>
          </w:p>
        </w:tc>
        <w:tc>
          <w:tcPr>
            <w:tcW w:w="900" w:type="dxa"/>
            <w:vAlign w:val="bottom"/>
            <w:tcBorders>
              <w:top w:val="single" w:sz="8" w:color="DDDDDD"/>
              <w:bottom w:val="single" w:sz="8" w:color="auto"/>
            </w:tcBorders>
            <w:shd w:val="clear" w:color="auto" w:fill="DDDDDD"/>
          </w:tcPr>
          <w:p>
            <w:pPr>
              <w:spacing w:after="0"/>
              <w:rPr>
                <w:sz w:val="16"/>
                <w:szCs w:val="16"/>
                <w:color w:val="auto"/>
              </w:rPr>
            </w:pPr>
          </w:p>
        </w:tc>
        <w:tc>
          <w:tcPr>
            <w:tcW w:w="180" w:type="dxa"/>
            <w:vAlign w:val="bottom"/>
            <w:tcBorders>
              <w:top w:val="single" w:sz="8" w:color="DDDDDD"/>
              <w:bottom w:val="single" w:sz="8" w:color="auto"/>
            </w:tcBorders>
            <w:shd w:val="clear" w:color="auto" w:fill="DDDDDD"/>
          </w:tcPr>
          <w:p>
            <w:pPr>
              <w:spacing w:after="0"/>
              <w:rPr>
                <w:sz w:val="16"/>
                <w:szCs w:val="16"/>
                <w:color w:val="auto"/>
              </w:rPr>
            </w:pPr>
          </w:p>
        </w:tc>
        <w:tc>
          <w:tcPr>
            <w:tcW w:w="80" w:type="dxa"/>
            <w:vAlign w:val="bottom"/>
            <w:tcBorders>
              <w:top w:val="single" w:sz="8" w:color="DDDDDD"/>
              <w:bottom w:val="single" w:sz="8" w:color="auto"/>
            </w:tcBorders>
            <w:shd w:val="clear" w:color="auto" w:fill="DDDDDD"/>
          </w:tcPr>
          <w:p>
            <w:pPr>
              <w:spacing w:after="0"/>
              <w:rPr>
                <w:sz w:val="16"/>
                <w:szCs w:val="16"/>
                <w:color w:val="auto"/>
              </w:rPr>
            </w:pPr>
          </w:p>
        </w:tc>
        <w:tc>
          <w:tcPr>
            <w:tcW w:w="740" w:type="dxa"/>
            <w:vAlign w:val="bottom"/>
            <w:tcBorders>
              <w:top w:val="single" w:sz="8" w:color="DDDDDD"/>
              <w:bottom w:val="single" w:sz="8" w:color="auto"/>
            </w:tcBorders>
            <w:shd w:val="clear" w:color="auto" w:fill="DDDDDD"/>
          </w:tcPr>
          <w:p>
            <w:pPr>
              <w:spacing w:after="0"/>
              <w:rPr>
                <w:sz w:val="16"/>
                <w:szCs w:val="16"/>
                <w:color w:val="auto"/>
              </w:rPr>
            </w:pPr>
          </w:p>
        </w:tc>
        <w:tc>
          <w:tcPr>
            <w:tcW w:w="120" w:type="dxa"/>
            <w:vAlign w:val="bottom"/>
            <w:tcBorders>
              <w:top w:val="single" w:sz="8" w:color="DDDDDD"/>
              <w:bottom w:val="single" w:sz="8" w:color="auto"/>
            </w:tcBorders>
            <w:shd w:val="clear" w:color="auto" w:fill="DDDDDD"/>
          </w:tcPr>
          <w:p>
            <w:pPr>
              <w:spacing w:after="0"/>
              <w:rPr>
                <w:sz w:val="16"/>
                <w:szCs w:val="16"/>
                <w:color w:val="auto"/>
              </w:rPr>
            </w:pPr>
          </w:p>
        </w:tc>
        <w:tc>
          <w:tcPr>
            <w:tcW w:w="4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50" w:type="dxa"/>
            <w:vAlign w:val="bottom"/>
            <w:tcBorders>
              <w:top w:val="single" w:sz="8" w:color="DDDDDD"/>
              <w:bottom w:val="single" w:sz="8" w:color="auto"/>
            </w:tcBorders>
            <w:shd w:val="clear" w:color="auto" w:fill="DDDDDD"/>
          </w:tcPr>
          <w:p>
            <w:pPr>
              <w:spacing w:after="0"/>
              <w:rPr>
                <w:sz w:val="16"/>
                <w:szCs w:val="16"/>
                <w:color w:val="auto"/>
              </w:rPr>
            </w:pPr>
          </w:p>
        </w:tc>
        <w:tc>
          <w:tcPr>
            <w:tcW w:w="1030" w:type="dxa"/>
            <w:vAlign w:val="bottom"/>
            <w:tcBorders>
              <w:top w:val="single" w:sz="8" w:color="DDDDDD"/>
              <w:bottom w:val="single" w:sz="8" w:color="auto"/>
            </w:tcBorders>
            <w:shd w:val="clear" w:color="auto" w:fill="DDDDDD"/>
          </w:tcPr>
          <w:p>
            <w:pPr>
              <w:spacing w:after="0"/>
              <w:rPr>
                <w:sz w:val="16"/>
                <w:szCs w:val="16"/>
                <w:color w:val="auto"/>
              </w:rPr>
            </w:pPr>
          </w:p>
        </w:tc>
        <w:tc>
          <w:tcPr>
            <w:tcW w:w="16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720" w:type="dxa"/>
            <w:vAlign w:val="bottom"/>
            <w:tcBorders>
              <w:top w:val="single" w:sz="8" w:color="DDDDDD"/>
              <w:bottom w:val="single" w:sz="8" w:color="auto"/>
            </w:tcBorders>
            <w:shd w:val="clear" w:color="auto" w:fill="DDDDDD"/>
          </w:tcPr>
          <w:p>
            <w:pPr>
              <w:spacing w:after="0"/>
              <w:rPr>
                <w:sz w:val="16"/>
                <w:szCs w:val="16"/>
                <w:color w:val="auto"/>
              </w:rPr>
            </w:pPr>
          </w:p>
        </w:tc>
        <w:tc>
          <w:tcPr>
            <w:tcW w:w="80" w:type="dxa"/>
            <w:vAlign w:val="bottom"/>
            <w:tcBorders>
              <w:top w:val="single" w:sz="8" w:color="DDDDDD"/>
              <w:bottom w:val="single" w:sz="8" w:color="auto"/>
            </w:tcBorders>
            <w:shd w:val="clear" w:color="auto" w:fill="DDDDDD"/>
          </w:tcPr>
          <w:p>
            <w:pPr>
              <w:spacing w:after="0"/>
              <w:rPr>
                <w:sz w:val="16"/>
                <w:szCs w:val="16"/>
                <w:color w:val="auto"/>
              </w:rPr>
            </w:pPr>
          </w:p>
        </w:tc>
      </w:tr>
      <w:tr>
        <w:trPr>
          <w:trHeight w:val="212"/>
        </w:trPr>
        <w:tc>
          <w:tcPr>
            <w:tcW w:w="322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920" w:type="dxa"/>
            <w:vAlign w:val="bottom"/>
            <w:tcBorders>
              <w:bottom w:val="single" w:sz="8" w:color="DDDDDD"/>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$ 7,507,130</w:t>
            </w:r>
          </w:p>
        </w:tc>
        <w:tc>
          <w:tcPr>
            <w:tcW w:w="980" w:type="dxa"/>
            <w:vAlign w:val="bottom"/>
            <w:tcBorders>
              <w:bottom w:val="single" w:sz="8" w:color="DDDDDD"/>
            </w:tcBorders>
            <w:gridSpan w:val="7"/>
          </w:tcPr>
          <w:p>
            <w:pPr>
              <w:jc w:val="right"/>
              <w:spacing w:after="0"/>
              <w:rPr>
                <w:sz w:val="20"/>
                <w:szCs w:val="20"/>
                <w:color w:val="auto"/>
              </w:rPr>
            </w:pPr>
            <w:r>
              <w:rPr>
                <w:rFonts w:ascii="Times New Roman" w:cs="Times New Roman" w:eastAsia="Times New Roman" w:hAnsi="Times New Roman"/>
                <w:sz w:val="18"/>
                <w:szCs w:val="18"/>
                <w:color w:val="auto"/>
              </w:rPr>
              <w:t>$ 1,064,460</w:t>
            </w:r>
          </w:p>
        </w:tc>
        <w:tc>
          <w:tcPr>
            <w:tcW w:w="280" w:type="dxa"/>
            <w:vAlign w:val="bottom"/>
            <w:tcBorders>
              <w:bottom w:val="single" w:sz="8" w:color="DDDDDD"/>
            </w:tcBorders>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DDDDDD"/>
            </w:tcBorders>
          </w:tcPr>
          <w:p>
            <w:pPr>
              <w:ind w:left="80"/>
              <w:spacing w:after="0"/>
              <w:rPr>
                <w:sz w:val="20"/>
                <w:szCs w:val="20"/>
                <w:color w:val="auto"/>
              </w:rPr>
            </w:pPr>
            <w:r>
              <w:rPr>
                <w:rFonts w:ascii="Times New Roman" w:cs="Times New Roman" w:eastAsia="Times New Roman" w:hAnsi="Times New Roman"/>
                <w:sz w:val="18"/>
                <w:szCs w:val="18"/>
                <w:color w:val="auto"/>
                <w:w w:val="99"/>
              </w:rPr>
              <w:t>7,163,001</w:t>
            </w:r>
          </w:p>
        </w:tc>
        <w:tc>
          <w:tcPr>
            <w:tcW w:w="160" w:type="dxa"/>
            <w:vAlign w:val="bottom"/>
            <w:tcBorders>
              <w:bottom w:val="single" w:sz="8" w:color="DDDDDD"/>
            </w:tcBorders>
          </w:tcPr>
          <w:p>
            <w:pPr>
              <w:spacing w:after="0"/>
              <w:rPr>
                <w:sz w:val="18"/>
                <w:szCs w:val="18"/>
                <w:color w:val="auto"/>
              </w:rPr>
            </w:pPr>
          </w:p>
        </w:tc>
        <w:tc>
          <w:tcPr>
            <w:tcW w:w="12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12,723</w:t>
            </w:r>
          </w:p>
        </w:tc>
        <w:tc>
          <w:tcPr>
            <w:tcW w:w="26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260" w:type="dxa"/>
            <w:vAlign w:val="bottom"/>
            <w:tcBorders>
              <w:bottom w:val="single" w:sz="8" w:color="DDDDDD"/>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6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16,575</w:t>
            </w:r>
          </w:p>
        </w:tc>
        <w:tc>
          <w:tcPr>
            <w:tcW w:w="80" w:type="dxa"/>
            <w:vAlign w:val="bottom"/>
            <w:tcBorders>
              <w:bottom w:val="single" w:sz="8" w:color="DDDDDD"/>
            </w:tcBorders>
          </w:tcPr>
          <w:p>
            <w:pPr>
              <w:spacing w:after="0"/>
              <w:rPr>
                <w:sz w:val="18"/>
                <w:szCs w:val="18"/>
                <w:color w:val="auto"/>
              </w:rPr>
            </w:pPr>
          </w:p>
        </w:tc>
      </w:tr>
      <w:tr>
        <w:trPr>
          <w:trHeight w:val="192"/>
        </w:trPr>
        <w:tc>
          <w:tcPr>
            <w:tcW w:w="3220" w:type="dxa"/>
            <w:vAlign w:val="bottom"/>
            <w:shd w:val="clear" w:color="auto" w:fill="DDDDDD"/>
          </w:tcPr>
          <w:p>
            <w:pPr>
              <w:spacing w:after="0" w:line="193" w:lineRule="exact"/>
              <w:rPr>
                <w:sz w:val="20"/>
                <w:szCs w:val="20"/>
                <w:color w:val="auto"/>
              </w:rPr>
            </w:pPr>
            <w:r>
              <w:rPr>
                <w:rFonts w:ascii="Times New Roman" w:cs="Times New Roman" w:eastAsia="Times New Roman" w:hAnsi="Times New Roman"/>
                <w:sz w:val="18"/>
                <w:szCs w:val="18"/>
                <w:color w:val="auto"/>
              </w:rPr>
              <w:t>December 31, 2024</w:t>
            </w:r>
          </w:p>
        </w:tc>
        <w:tc>
          <w:tcPr>
            <w:tcW w:w="90" w:type="dxa"/>
            <w:vAlign w:val="bottom"/>
            <w:shd w:val="clear" w:color="auto" w:fill="DDDDDD"/>
          </w:tcPr>
          <w:p>
            <w:pPr>
              <w:spacing w:after="0"/>
              <w:rPr>
                <w:sz w:val="16"/>
                <w:szCs w:val="16"/>
                <w:color w:val="auto"/>
              </w:rPr>
            </w:pPr>
          </w:p>
        </w:tc>
        <w:tc>
          <w:tcPr>
            <w:tcW w:w="90" w:type="dxa"/>
            <w:vAlign w:val="bottom"/>
            <w:shd w:val="clear" w:color="auto" w:fill="DDDDDD"/>
          </w:tcPr>
          <w:p>
            <w:pPr>
              <w:spacing w:after="0"/>
              <w:rPr>
                <w:sz w:val="16"/>
                <w:szCs w:val="16"/>
                <w:color w:val="auto"/>
              </w:rPr>
            </w:pPr>
          </w:p>
        </w:tc>
        <w:tc>
          <w:tcPr>
            <w:tcW w:w="740" w:type="dxa"/>
            <w:vAlign w:val="bottom"/>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highlight w:val="lightGray"/>
                <w:w w:val="99"/>
              </w:rPr>
              <w:t>4,605,824</w:t>
            </w:r>
          </w:p>
        </w:tc>
        <w:tc>
          <w:tcPr>
            <w:tcW w:w="6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40" w:type="dxa"/>
            <w:vAlign w:val="bottom"/>
            <w:gridSpan w:val="2"/>
            <w:shd w:val="clear" w:color="auto" w:fill="DDDDDD"/>
          </w:tcPr>
          <w:p>
            <w:pPr>
              <w:spacing w:after="0"/>
              <w:rPr>
                <w:sz w:val="16"/>
                <w:szCs w:val="16"/>
                <w:color w:val="auto"/>
              </w:rPr>
            </w:pPr>
          </w:p>
        </w:tc>
        <w:tc>
          <w:tcPr>
            <w:tcW w:w="700" w:type="dxa"/>
            <w:vAlign w:val="bottom"/>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742,269</w:t>
            </w:r>
          </w:p>
        </w:tc>
        <w:tc>
          <w:tcPr>
            <w:tcW w:w="16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820" w:type="dxa"/>
            <w:vAlign w:val="bottom"/>
            <w:shd w:val="clear" w:color="auto" w:fill="DDDDDD"/>
          </w:tcPr>
          <w:p>
            <w:pPr>
              <w:ind w:left="80"/>
              <w:spacing w:after="0" w:line="193" w:lineRule="exact"/>
              <w:rPr>
                <w:sz w:val="20"/>
                <w:szCs w:val="20"/>
                <w:color w:val="auto"/>
              </w:rPr>
            </w:pPr>
            <w:r>
              <w:rPr>
                <w:rFonts w:ascii="Times New Roman" w:cs="Times New Roman" w:eastAsia="Times New Roman" w:hAnsi="Times New Roman"/>
                <w:sz w:val="18"/>
                <w:szCs w:val="18"/>
                <w:color w:val="auto"/>
                <w:highlight w:val="lightGray"/>
                <w:w w:val="99"/>
              </w:rPr>
              <w:t>4,413,417</w:t>
            </w:r>
          </w:p>
        </w:tc>
        <w:tc>
          <w:tcPr>
            <w:tcW w:w="16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900" w:type="dxa"/>
            <w:vAlign w:val="bottom"/>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9,354</w:t>
            </w:r>
          </w:p>
        </w:tc>
        <w:tc>
          <w:tcPr>
            <w:tcW w:w="18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740" w:type="dxa"/>
            <w:vAlign w:val="bottom"/>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2,644</w:t>
            </w:r>
          </w:p>
        </w:tc>
        <w:tc>
          <w:tcPr>
            <w:tcW w:w="12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0" w:type="dxa"/>
            <w:vAlign w:val="bottom"/>
            <w:shd w:val="clear" w:color="auto" w:fill="DDDDDD"/>
          </w:tcPr>
          <w:p>
            <w:pPr>
              <w:spacing w:after="0"/>
              <w:rPr>
                <w:sz w:val="16"/>
                <w:szCs w:val="16"/>
                <w:color w:val="auto"/>
              </w:rPr>
            </w:pPr>
          </w:p>
        </w:tc>
        <w:tc>
          <w:tcPr>
            <w:tcW w:w="1030" w:type="dxa"/>
            <w:vAlign w:val="bottom"/>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786</w:t>
            </w:r>
          </w:p>
        </w:tc>
        <w:tc>
          <w:tcPr>
            <w:tcW w:w="1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720" w:type="dxa"/>
            <w:vAlign w:val="bottom"/>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12,784</w:t>
            </w:r>
          </w:p>
        </w:tc>
        <w:tc>
          <w:tcPr>
            <w:tcW w:w="80" w:type="dxa"/>
            <w:vAlign w:val="bottom"/>
            <w:shd w:val="clear" w:color="auto" w:fill="DDDDDD"/>
          </w:tcPr>
          <w:p>
            <w:pPr>
              <w:spacing w:after="0"/>
              <w:rPr>
                <w:sz w:val="16"/>
                <w:szCs w:val="16"/>
                <w:color w:val="auto"/>
              </w:rPr>
            </w:pPr>
          </w:p>
        </w:tc>
      </w:tr>
      <w:tr>
        <w:trPr>
          <w:trHeight w:val="20"/>
        </w:trPr>
        <w:tc>
          <w:tcPr>
            <w:tcW w:w="3220" w:type="dxa"/>
            <w:vAlign w:val="bottom"/>
            <w:shd w:val="clear" w:color="auto" w:fill="DDDDDD"/>
          </w:tcPr>
          <w:p>
            <w:pPr>
              <w:spacing w:after="0" w:line="20" w:lineRule="exact"/>
              <w:rPr>
                <w:sz w:val="1"/>
                <w:szCs w:val="1"/>
                <w:color w:val="auto"/>
              </w:rPr>
            </w:pPr>
          </w:p>
        </w:tc>
        <w:tc>
          <w:tcPr>
            <w:tcW w:w="90" w:type="dxa"/>
            <w:vAlign w:val="bottom"/>
            <w:shd w:val="clear" w:color="auto" w:fill="DDDDDD"/>
          </w:tcPr>
          <w:p>
            <w:pPr>
              <w:spacing w:after="0" w:line="20" w:lineRule="exact"/>
              <w:rPr>
                <w:sz w:val="1"/>
                <w:szCs w:val="1"/>
                <w:color w:val="auto"/>
              </w:rPr>
            </w:pPr>
          </w:p>
        </w:tc>
        <w:tc>
          <w:tcPr>
            <w:tcW w:w="90" w:type="dxa"/>
            <w:vAlign w:val="bottom"/>
            <w:shd w:val="clear" w:color="auto" w:fill="DDDDDD"/>
          </w:tcPr>
          <w:p>
            <w:pPr>
              <w:spacing w:after="0" w:line="20" w:lineRule="exact"/>
              <w:rPr>
                <w:sz w:val="1"/>
                <w:szCs w:val="1"/>
                <w:color w:val="auto"/>
              </w:rPr>
            </w:pPr>
          </w:p>
        </w:tc>
        <w:tc>
          <w:tcPr>
            <w:tcW w:w="740" w:type="dxa"/>
            <w:vAlign w:val="bottom"/>
            <w:shd w:val="clear" w:color="auto" w:fill="DDDDDD"/>
          </w:tcPr>
          <w:p>
            <w:pPr>
              <w:spacing w:after="0" w:line="20" w:lineRule="exact"/>
              <w:rPr>
                <w:sz w:val="1"/>
                <w:szCs w:val="1"/>
                <w:color w:val="auto"/>
              </w:rPr>
            </w:pPr>
          </w:p>
        </w:tc>
        <w:tc>
          <w:tcPr>
            <w:tcW w:w="6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700" w:type="dxa"/>
            <w:vAlign w:val="bottom"/>
            <w:shd w:val="clear" w:color="auto" w:fill="DDDDDD"/>
          </w:tcPr>
          <w:p>
            <w:pPr>
              <w:spacing w:after="0" w:line="20" w:lineRule="exact"/>
              <w:rPr>
                <w:sz w:val="1"/>
                <w:szCs w:val="1"/>
                <w:color w:val="auto"/>
              </w:rPr>
            </w:pPr>
          </w:p>
        </w:tc>
        <w:tc>
          <w:tcPr>
            <w:tcW w:w="160" w:type="dxa"/>
            <w:vAlign w:val="bottom"/>
            <w:shd w:val="clear" w:color="auto" w:fill="DDDDDD"/>
          </w:tcPr>
          <w:p>
            <w:pPr>
              <w:spacing w:after="0" w:line="20" w:lineRule="exact"/>
              <w:rPr>
                <w:sz w:val="1"/>
                <w:szCs w:val="1"/>
                <w:color w:val="auto"/>
              </w:rPr>
            </w:pPr>
          </w:p>
        </w:tc>
        <w:tc>
          <w:tcPr>
            <w:tcW w:w="120" w:type="dxa"/>
            <w:vAlign w:val="bottom"/>
            <w:shd w:val="clear" w:color="auto" w:fill="DDDDDD"/>
          </w:tcPr>
          <w:p>
            <w:pPr>
              <w:spacing w:after="0" w:line="20" w:lineRule="exact"/>
              <w:rPr>
                <w:sz w:val="1"/>
                <w:szCs w:val="1"/>
                <w:color w:val="auto"/>
              </w:rPr>
            </w:pPr>
          </w:p>
        </w:tc>
        <w:tc>
          <w:tcPr>
            <w:tcW w:w="820" w:type="dxa"/>
            <w:vAlign w:val="bottom"/>
            <w:shd w:val="clear" w:color="auto" w:fill="DDDDDD"/>
          </w:tcPr>
          <w:p>
            <w:pPr>
              <w:spacing w:after="0" w:line="20" w:lineRule="exact"/>
              <w:rPr>
                <w:sz w:val="1"/>
                <w:szCs w:val="1"/>
                <w:color w:val="auto"/>
              </w:rPr>
            </w:pPr>
          </w:p>
        </w:tc>
        <w:tc>
          <w:tcPr>
            <w:tcW w:w="160" w:type="dxa"/>
            <w:vAlign w:val="bottom"/>
            <w:shd w:val="clear" w:color="auto" w:fill="DDDDDD"/>
          </w:tcPr>
          <w:p>
            <w:pPr>
              <w:spacing w:after="0" w:line="20" w:lineRule="exact"/>
              <w:rPr>
                <w:sz w:val="1"/>
                <w:szCs w:val="1"/>
                <w:color w:val="auto"/>
              </w:rPr>
            </w:pPr>
          </w:p>
        </w:tc>
        <w:tc>
          <w:tcPr>
            <w:tcW w:w="120" w:type="dxa"/>
            <w:vAlign w:val="bottom"/>
            <w:shd w:val="clear" w:color="auto" w:fill="DDDDDD"/>
          </w:tcPr>
          <w:p>
            <w:pPr>
              <w:spacing w:after="0" w:line="20" w:lineRule="exact"/>
              <w:rPr>
                <w:sz w:val="1"/>
                <w:szCs w:val="1"/>
                <w:color w:val="auto"/>
              </w:rPr>
            </w:pPr>
          </w:p>
        </w:tc>
        <w:tc>
          <w:tcPr>
            <w:tcW w:w="900" w:type="dxa"/>
            <w:vAlign w:val="bottom"/>
            <w:shd w:val="clear" w:color="auto" w:fill="DDDDDD"/>
          </w:tcPr>
          <w:p>
            <w:pPr>
              <w:spacing w:after="0" w:line="20" w:lineRule="exact"/>
              <w:rPr>
                <w:sz w:val="1"/>
                <w:szCs w:val="1"/>
                <w:color w:val="auto"/>
              </w:rPr>
            </w:pPr>
          </w:p>
        </w:tc>
        <w:tc>
          <w:tcPr>
            <w:tcW w:w="180" w:type="dxa"/>
            <w:vAlign w:val="bottom"/>
            <w:shd w:val="clear" w:color="auto" w:fill="DDDDDD"/>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c>
          <w:tcPr>
            <w:tcW w:w="740" w:type="dxa"/>
            <w:vAlign w:val="bottom"/>
            <w:shd w:val="clear" w:color="auto" w:fill="DDDDDD"/>
          </w:tcPr>
          <w:p>
            <w:pPr>
              <w:spacing w:after="0" w:line="20" w:lineRule="exact"/>
              <w:rPr>
                <w:sz w:val="1"/>
                <w:szCs w:val="1"/>
                <w:color w:val="auto"/>
              </w:rPr>
            </w:pPr>
          </w:p>
        </w:tc>
        <w:tc>
          <w:tcPr>
            <w:tcW w:w="120" w:type="dxa"/>
            <w:vAlign w:val="bottom"/>
            <w:shd w:val="clear" w:color="auto" w:fill="DDDDDD"/>
          </w:tcPr>
          <w:p>
            <w:pPr>
              <w:spacing w:after="0" w:line="20" w:lineRule="exact"/>
              <w:rPr>
                <w:sz w:val="1"/>
                <w:szCs w:val="1"/>
                <w:color w:val="auto"/>
              </w:rPr>
            </w:pPr>
          </w:p>
        </w:tc>
        <w:tc>
          <w:tcPr>
            <w:tcW w:w="40" w:type="dxa"/>
            <w:vAlign w:val="bottom"/>
            <w:shd w:val="clear" w:color="auto" w:fill="DDDDDD"/>
          </w:tcPr>
          <w:p>
            <w:pPr>
              <w:spacing w:after="0" w:line="20" w:lineRule="exact"/>
              <w:rPr>
                <w:sz w:val="1"/>
                <w:szCs w:val="1"/>
                <w:color w:val="auto"/>
              </w:rPr>
            </w:pPr>
          </w:p>
        </w:tc>
        <w:tc>
          <w:tcPr>
            <w:tcW w:w="100" w:type="dxa"/>
            <w:vAlign w:val="bottom"/>
            <w:shd w:val="clear" w:color="auto" w:fill="DDDDDD"/>
          </w:tcPr>
          <w:p>
            <w:pPr>
              <w:spacing w:after="0" w:line="20" w:lineRule="exact"/>
              <w:rPr>
                <w:sz w:val="1"/>
                <w:szCs w:val="1"/>
                <w:color w:val="auto"/>
              </w:rPr>
            </w:pPr>
          </w:p>
        </w:tc>
        <w:tc>
          <w:tcPr>
            <w:tcW w:w="50" w:type="dxa"/>
            <w:vAlign w:val="bottom"/>
            <w:shd w:val="clear" w:color="auto" w:fill="DDDDDD"/>
          </w:tcPr>
          <w:p>
            <w:pPr>
              <w:spacing w:after="0" w:line="20" w:lineRule="exact"/>
              <w:rPr>
                <w:sz w:val="1"/>
                <w:szCs w:val="1"/>
                <w:color w:val="auto"/>
              </w:rPr>
            </w:pPr>
          </w:p>
        </w:tc>
        <w:tc>
          <w:tcPr>
            <w:tcW w:w="1030" w:type="dxa"/>
            <w:vAlign w:val="bottom"/>
            <w:shd w:val="clear" w:color="auto" w:fill="DDDDDD"/>
          </w:tcPr>
          <w:p>
            <w:pPr>
              <w:spacing w:after="0" w:line="20" w:lineRule="exact"/>
              <w:rPr>
                <w:sz w:val="1"/>
                <w:szCs w:val="1"/>
                <w:color w:val="auto"/>
              </w:rPr>
            </w:pPr>
          </w:p>
        </w:tc>
        <w:tc>
          <w:tcPr>
            <w:tcW w:w="160" w:type="dxa"/>
            <w:vAlign w:val="bottom"/>
            <w:shd w:val="clear" w:color="auto" w:fill="DDDDDD"/>
          </w:tcPr>
          <w:p>
            <w:pPr>
              <w:spacing w:after="0" w:line="20" w:lineRule="exact"/>
              <w:rPr>
                <w:sz w:val="1"/>
                <w:szCs w:val="1"/>
                <w:color w:val="auto"/>
              </w:rPr>
            </w:pPr>
          </w:p>
        </w:tc>
        <w:tc>
          <w:tcPr>
            <w:tcW w:w="100" w:type="dxa"/>
            <w:vAlign w:val="bottom"/>
            <w:shd w:val="clear" w:color="auto" w:fill="DDDDDD"/>
          </w:tcPr>
          <w:p>
            <w:pPr>
              <w:spacing w:after="0" w:line="20" w:lineRule="exact"/>
              <w:rPr>
                <w:sz w:val="1"/>
                <w:szCs w:val="1"/>
                <w:color w:val="auto"/>
              </w:rPr>
            </w:pPr>
          </w:p>
        </w:tc>
        <w:tc>
          <w:tcPr>
            <w:tcW w:w="720" w:type="dxa"/>
            <w:vAlign w:val="bottom"/>
            <w:shd w:val="clear" w:color="auto" w:fill="DDDDDD"/>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-272415</wp:posOffset>
                </wp:positionV>
                <wp:extent cx="685800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pt,-21.4499pt" to="541.2pt,-21.4499pt" o:allowincell="f" strokecolor="#FFFFFF" strokeweight="0.14pt"/>
            </w:pict>
          </mc:Fallback>
        </mc:AlternateConten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Pending Acquisition of Tom Johnson Investment Management</w:t>
      </w:r>
    </w:p>
    <w:p>
      <w:pPr>
        <w:spacing w:after="0" w:line="230" w:lineRule="exact"/>
        <w:rPr>
          <w:sz w:val="20"/>
          <w:szCs w:val="20"/>
          <w:color w:val="auto"/>
        </w:rPr>
      </w:pPr>
    </w:p>
    <w:p>
      <w:pPr>
        <w:ind w:right="80" w:firstLine="360"/>
        <w:spacing w:after="0" w:line="244" w:lineRule="auto"/>
        <w:rPr>
          <w:sz w:val="20"/>
          <w:szCs w:val="20"/>
          <w:color w:val="auto"/>
        </w:rPr>
      </w:pPr>
      <w:r>
        <w:rPr>
          <w:rFonts w:ascii="Times New Roman" w:cs="Times New Roman" w:eastAsia="Times New Roman" w:hAnsi="Times New Roman"/>
          <w:sz w:val="20"/>
          <w:szCs w:val="20"/>
          <w:color w:val="auto"/>
        </w:rPr>
        <w:t>On January 13, 2026, the Company announced that Holdings has entered into an agreement to purchase eighty percent (80%) of the fully diluted equity interests of TJIM, a privately held registered investment adviser. The transaction is expected to close at the beginning of the second quarter of 2026. As of the announcement date, TJIM had approximately $1.6 billion of assets under management across equity and fixed income markets. TJIM’s management agreements are diverse, covering individual accounts, sub-advisory agreements, and wrap programs. The existing owners of TJIM will retain an ownership interest in TJIM and Bimini intends to retain its current staff and investment management team following the closing of the transaction. The transaction agreements include mutual put and call rights that could result in the Company’s acquisition of the remaining 20% equity interest retained by the existing owners. The transaction is intended to transition Bimini into a pure asset management firm with a more diverse mix of assets under its respective management teams.</w:t>
      </w:r>
    </w:p>
    <w:p>
      <w:pPr>
        <w:spacing w:after="0" w:line="197" w:lineRule="exact"/>
        <w:rPr>
          <w:sz w:val="20"/>
          <w:szCs w:val="20"/>
          <w:color w:val="auto"/>
        </w:rPr>
      </w:pPr>
    </w:p>
    <w:p>
      <w:pPr>
        <w:ind w:right="40" w:firstLine="360"/>
        <w:spacing w:after="0" w:line="244" w:lineRule="auto"/>
        <w:rPr>
          <w:sz w:val="20"/>
          <w:szCs w:val="20"/>
          <w:color w:val="auto"/>
        </w:rPr>
      </w:pPr>
      <w:r>
        <w:rPr>
          <w:rFonts w:ascii="Times New Roman" w:cs="Times New Roman" w:eastAsia="Times New Roman" w:hAnsi="Times New Roman"/>
          <w:sz w:val="20"/>
          <w:szCs w:val="20"/>
          <w:color w:val="auto"/>
        </w:rPr>
        <w:t>If the acquisition of TJIM is completed, the composition of the Company’s business will change both from the perspective of how its capital is deployed and how it reports its results for its operating segments. The acquisition of an 80% ownership interest in TJIM will require the deployment of a significant portion of the Company’s capital, including all capital currently deployed into the investment portfolio, with the exception of shares of Orchid. The results of TJIM going forward would represent a significant portion of the Company’s aggregate results. If the acquisition is completed and the Company is able to generate and retain earnings going forward, the Company expects that such funds will be deployed into an Agency MBS investment portfolio, in which case they are expected to be managed more conservatively in terms of the amount of leverage employed when compared to leverage employed by the Company historically. Given the Company’s intention to retain ownership of shares of Orchid if the transaction closes, the Company’s operating segments would consist of the management of Orchid, the controlling stake in the operations of TJIM, and to a lesser extent its investment portfolio, for a total of three reportable segments.</w:t>
      </w:r>
    </w:p>
    <w:p>
      <w:pPr>
        <w:spacing w:after="0" w:line="192"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20"/>
          <w:szCs w:val="20"/>
          <w:color w:val="auto"/>
        </w:rPr>
        <w:t>With respect to the Company’s results of operations for 2025 and 2024, the investment portfolio comprised one of the Company’s reportable segments and the Company deployed significant capital to those operations. Accordingly, such operations are described in detail below.</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Investment Portfolio Segment</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Net Portfolio Interest Income</w:t>
      </w:r>
    </w:p>
    <w:p>
      <w:pPr>
        <w:spacing w:after="0" w:line="226" w:lineRule="exact"/>
        <w:rPr>
          <w:sz w:val="20"/>
          <w:szCs w:val="20"/>
          <w:color w:val="auto"/>
        </w:rPr>
      </w:pPr>
    </w:p>
    <w:p>
      <w:pPr>
        <w:ind w:left="20" w:firstLine="360"/>
        <w:spacing w:after="0" w:line="247" w:lineRule="auto"/>
        <w:rPr>
          <w:sz w:val="20"/>
          <w:szCs w:val="20"/>
          <w:color w:val="auto"/>
        </w:rPr>
      </w:pPr>
      <w:r>
        <w:rPr>
          <w:rFonts w:ascii="Times New Roman" w:cs="Times New Roman" w:eastAsia="Times New Roman" w:hAnsi="Times New Roman"/>
          <w:sz w:val="20"/>
          <w:szCs w:val="20"/>
          <w:color w:val="auto"/>
        </w:rPr>
        <w:t>We define net portfolio interest income as interest income on MBS less interest expense on repurchase agreement funding. During the year ended December 31, 2025, we generated $1.6 million of net portfolio interest income, consisting of $6.3 million of interest income from MBS assets offset by $4.7 million of interest expense on repurchase liabilities. For the year ended December 31, 2024, we generated $0.7 million of net portfolio interest income, consisting of $5.8 million of interest income from MBS assets offset</w:t>
      </w:r>
    </w:p>
    <w:p>
      <w:pPr>
        <w:spacing w:after="0" w:line="2" w:lineRule="exact"/>
        <w:rPr>
          <w:sz w:val="20"/>
          <w:szCs w:val="20"/>
          <w:color w:val="auto"/>
        </w:rPr>
      </w:pPr>
    </w:p>
    <w:p>
      <w:pPr>
        <w:ind w:left="20" w:right="60"/>
        <w:spacing w:after="0" w:line="243" w:lineRule="auto"/>
        <w:rPr>
          <w:sz w:val="20"/>
          <w:szCs w:val="20"/>
          <w:color w:val="auto"/>
        </w:rPr>
      </w:pPr>
      <w:r>
        <w:rPr>
          <w:rFonts w:ascii="Times New Roman" w:cs="Times New Roman" w:eastAsia="Times New Roman" w:hAnsi="Times New Roman"/>
          <w:sz w:val="20"/>
          <w:szCs w:val="20"/>
          <w:color w:val="auto"/>
        </w:rPr>
        <w:t>by $5.1 million of interest expense on repurchase liabilities. The $0.5 million increase in interest income for the year ended December 31, 2025 was primarily due to a $9.4 million increase in average MBS balances, offset by a 7 basis point ("bp") decrease in yields earned on the portfolio. The $0.5 million decrease in interest expense for the year ended December 31, 2025 was primarily due to a 90 bp decrease in cost of funds, offset by a $9.0 million increase in average repurchase liabilities.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820"/>
          </w:cols>
          <w:pgMar w:left="700" w:top="785" w:right="720" w:bottom="135" w:gutter="0" w:footer="0" w:header="0"/>
        </w:sectPr>
      </w:pPr>
    </w:p>
    <w:bookmarkStart w:id="40" w:name="page41"/>
    <w:bookmarkEnd w:id="40"/>
    <w:p>
      <w:pPr>
        <w:ind w:right="300" w:firstLine="360"/>
        <w:spacing w:after="0" w:line="278" w:lineRule="auto"/>
        <w:rPr>
          <w:sz w:val="20"/>
          <w:szCs w:val="20"/>
          <w:color w:val="auto"/>
        </w:rPr>
      </w:pPr>
      <w:r>
        <w:rPr>
          <w:rFonts w:ascii="Times New Roman" w:cs="Times New Roman" w:eastAsia="Times New Roman" w:hAnsi="Times New Roman"/>
          <w:sz w:val="20"/>
          <w:szCs w:val="20"/>
          <w:color w:val="auto"/>
        </w:rPr>
        <w:t>Our economic interest expense on repurchase liabilities for the years ended December 31, 2025 and 2024 was $4.2 million and $5.1 million, respectively, resulting in $2.1 million and $0.7 million of economic net portfolio interest income, respectively.</w:t>
      </w:r>
    </w:p>
    <w:p>
      <w:pPr>
        <w:spacing w:after="0" w:line="157" w:lineRule="exact"/>
        <w:rPr>
          <w:sz w:val="20"/>
          <w:szCs w:val="20"/>
          <w:color w:val="auto"/>
        </w:rPr>
      </w:pPr>
    </w:p>
    <w:p>
      <w:pPr>
        <w:ind w:right="140" w:firstLine="360"/>
        <w:spacing w:after="0" w:line="259" w:lineRule="auto"/>
        <w:rPr>
          <w:sz w:val="20"/>
          <w:szCs w:val="20"/>
          <w:color w:val="auto"/>
        </w:rPr>
      </w:pPr>
      <w:r>
        <w:rPr>
          <w:rFonts w:ascii="Times New Roman" w:cs="Times New Roman" w:eastAsia="Times New Roman" w:hAnsi="Times New Roman"/>
          <w:sz w:val="20"/>
          <w:szCs w:val="20"/>
          <w:color w:val="auto"/>
        </w:rPr>
        <w:t>The tables below provide information on our portfolio average balances, interest income, yield on assets, average repurchase agreement balances, interest expense, cost of funds, net interest income and net interest rate spread for each quarter in 2025 and 2024 and for the years ended December 31, 2025 and 2024 on both a GAAP and economic basis.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24130</wp:posOffset>
                </wp:positionV>
                <wp:extent cx="685800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9pt" to="540.2pt,1.9pt" o:allowincell="f" strokecolor="#FFFFFF" strokeweight="0.14pt"/>
            </w:pict>
          </mc:Fallback>
        </mc:AlternateConten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Yield on</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Borders>
              <w:top w:val="single" w:sz="8" w:color="auto"/>
            </w:tcBorders>
          </w:tcPr>
          <w:p>
            <w:pPr>
              <w:spacing w:after="0"/>
              <w:rPr>
                <w:sz w:val="18"/>
                <w:szCs w:val="18"/>
                <w:color w:val="auto"/>
              </w:rPr>
            </w:pPr>
          </w:p>
        </w:tc>
        <w:tc>
          <w:tcPr>
            <w:tcW w:w="110" w:type="dxa"/>
            <w:vAlign w:val="bottom"/>
            <w:tcBorders>
              <w:top w:val="single" w:sz="8" w:color="auto"/>
              <w:bottom w:val="single" w:sz="8" w:color="auto"/>
            </w:tcBorders>
          </w:tcPr>
          <w:p>
            <w:pPr>
              <w:spacing w:after="0"/>
              <w:rPr>
                <w:sz w:val="18"/>
                <w:szCs w:val="18"/>
                <w:color w:val="auto"/>
              </w:rPr>
            </w:pPr>
          </w:p>
        </w:tc>
        <w:tc>
          <w:tcPr>
            <w:tcW w:w="3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gridSpan w:val="8"/>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100" w:type="dxa"/>
            <w:vAlign w:val="bottom"/>
            <w:tcBorders>
              <w:top w:val="single" w:sz="8" w:color="auto"/>
              <w:bottom w:val="single" w:sz="8" w:color="auto"/>
            </w:tcBorders>
            <w:gridSpan w:val="7"/>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Average Cost of Funds</w:t>
            </w:r>
          </w:p>
        </w:tc>
      </w:tr>
      <w:tr>
        <w:trPr>
          <w:trHeight w:val="191"/>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7"/>
              </w:rPr>
              <w:t>MBS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b w:val="1"/>
                <w:bCs w:val="1"/>
                <w:color w:val="auto"/>
                <w:w w:val="99"/>
              </w:rPr>
              <w:t>Interest</w:t>
            </w:r>
          </w:p>
        </w:tc>
        <w:tc>
          <w:tcPr>
            <w:tcW w:w="1180" w:type="dxa"/>
            <w:vAlign w:val="bottom"/>
            <w:gridSpan w:val="3"/>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20" w:type="dxa"/>
            <w:vAlign w:val="bottom"/>
          </w:tcPr>
          <w:p>
            <w:pPr>
              <w:spacing w:after="0"/>
              <w:rPr>
                <w:sz w:val="16"/>
                <w:szCs w:val="16"/>
                <w:color w:val="auto"/>
              </w:rPr>
            </w:pPr>
          </w:p>
        </w:tc>
        <w:tc>
          <w:tcPr>
            <w:tcW w:w="1080" w:type="dxa"/>
            <w:vAlign w:val="bottom"/>
            <w:gridSpan w:val="5"/>
          </w:tcPr>
          <w:p>
            <w:pPr>
              <w:jc w:val="center"/>
              <w:ind w:right="60"/>
              <w:spacing w:after="0" w:line="191" w:lineRule="exact"/>
              <w:rPr>
                <w:sz w:val="20"/>
                <w:szCs w:val="20"/>
                <w:color w:val="auto"/>
              </w:rPr>
            </w:pPr>
            <w:r>
              <w:rPr>
                <w:rFonts w:ascii="Times New Roman" w:cs="Times New Roman" w:eastAsia="Times New Roman" w:hAnsi="Times New Roman"/>
                <w:sz w:val="18"/>
                <w:szCs w:val="18"/>
                <w:b w:val="1"/>
                <w:bCs w:val="1"/>
                <w:color w:val="auto"/>
                <w:w w:val="98"/>
              </w:rPr>
              <w:t>Repurchase</w:t>
            </w:r>
          </w:p>
        </w:tc>
        <w:tc>
          <w:tcPr>
            <w:tcW w:w="14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30" w:type="dxa"/>
            <w:vAlign w:val="bottom"/>
          </w:tcPr>
          <w:p>
            <w:pPr>
              <w:spacing w:after="0"/>
              <w:rPr>
                <w:sz w:val="16"/>
                <w:szCs w:val="16"/>
                <w:color w:val="auto"/>
              </w:rPr>
            </w:pPr>
          </w:p>
        </w:tc>
        <w:tc>
          <w:tcPr>
            <w:tcW w:w="720" w:type="dxa"/>
            <w:vAlign w:val="bottom"/>
            <w:gridSpan w:val="2"/>
          </w:tcPr>
          <w:p>
            <w:pPr>
              <w:jc w:val="right"/>
              <w:ind w:right="90"/>
              <w:spacing w:after="0" w:line="191" w:lineRule="exact"/>
              <w:rPr>
                <w:sz w:val="20"/>
                <w:szCs w:val="20"/>
                <w:color w:val="auto"/>
              </w:rPr>
            </w:pPr>
            <w:r>
              <w:rPr>
                <w:rFonts w:ascii="Times New Roman" w:cs="Times New Roman" w:eastAsia="Times New Roman" w:hAnsi="Times New Roman"/>
                <w:sz w:val="18"/>
                <w:szCs w:val="18"/>
                <w:b w:val="1"/>
                <w:bCs w:val="1"/>
                <w:color w:val="auto"/>
              </w:rPr>
              <w:t>GAAP</w:t>
            </w:r>
          </w:p>
        </w:tc>
        <w:tc>
          <w:tcPr>
            <w:tcW w:w="180" w:type="dxa"/>
            <w:vAlign w:val="bottom"/>
          </w:tcPr>
          <w:p>
            <w:pPr>
              <w:spacing w:after="0"/>
              <w:rPr>
                <w:sz w:val="16"/>
                <w:szCs w:val="16"/>
                <w:color w:val="auto"/>
              </w:rPr>
            </w:pPr>
          </w:p>
        </w:tc>
        <w:tc>
          <w:tcPr>
            <w:tcW w:w="840" w:type="dxa"/>
            <w:vAlign w:val="bottom"/>
            <w:gridSpan w:val="5"/>
          </w:tcPr>
          <w:p>
            <w:pPr>
              <w:jc w:val="right"/>
              <w:ind w:right="40"/>
              <w:spacing w:after="0" w:line="191" w:lineRule="exact"/>
              <w:rPr>
                <w:sz w:val="20"/>
                <w:szCs w:val="20"/>
                <w:color w:val="auto"/>
              </w:rPr>
            </w:pPr>
            <w:r>
              <w:rPr>
                <w:rFonts w:ascii="Times New Roman" w:cs="Times New Roman" w:eastAsia="Times New Roman" w:hAnsi="Times New Roman"/>
                <w:sz w:val="18"/>
                <w:szCs w:val="18"/>
                <w:b w:val="1"/>
                <w:bCs w:val="1"/>
                <w:color w:val="auto"/>
              </w:rPr>
              <w:t>Economic</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right"/>
              <w:ind w:right="230"/>
              <w:spacing w:after="0" w:line="191" w:lineRule="exact"/>
              <w:rPr>
                <w:sz w:val="20"/>
                <w:szCs w:val="20"/>
                <w:color w:val="auto"/>
              </w:rPr>
            </w:pPr>
            <w:r>
              <w:rPr>
                <w:rFonts w:ascii="Times New Roman" w:cs="Times New Roman" w:eastAsia="Times New Roman" w:hAnsi="Times New Roman"/>
                <w:sz w:val="18"/>
                <w:szCs w:val="18"/>
                <w:b w:val="1"/>
                <w:bCs w:val="1"/>
                <w:color w:val="auto"/>
              </w:rPr>
              <w:t>GAAP</w:t>
            </w:r>
          </w:p>
        </w:tc>
        <w:tc>
          <w:tcPr>
            <w:tcW w:w="1100" w:type="dxa"/>
            <w:vAlign w:val="bottom"/>
            <w:gridSpan w:val="3"/>
          </w:tcPr>
          <w:p>
            <w:pPr>
              <w:jc w:val="right"/>
              <w:ind w:right="110"/>
              <w:spacing w:after="0" w:line="191" w:lineRule="exact"/>
              <w:rPr>
                <w:sz w:val="20"/>
                <w:szCs w:val="20"/>
                <w:color w:val="auto"/>
              </w:rPr>
            </w:pPr>
            <w:r>
              <w:rPr>
                <w:rFonts w:ascii="Times New Roman" w:cs="Times New Roman" w:eastAsia="Times New Roman" w:hAnsi="Times New Roman"/>
                <w:sz w:val="18"/>
                <w:szCs w:val="18"/>
                <w:b w:val="1"/>
                <w:bCs w:val="1"/>
                <w:color w:val="auto"/>
              </w:rPr>
              <w:t>Economic</w:t>
            </w:r>
          </w:p>
        </w:tc>
      </w:tr>
      <w:tr>
        <w:trPr>
          <w:trHeight w:val="261"/>
        </w:trPr>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Held</w:t>
            </w:r>
            <w:r>
              <w:rPr>
                <w:rFonts w:ascii="Times New Roman" w:cs="Times New Roman" w:eastAsia="Times New Roman" w:hAnsi="Times New Roman"/>
                <w:sz w:val="9"/>
                <w:szCs w:val="9"/>
                <w:b w:val="1"/>
                <w:bCs w:val="1"/>
                <w:color w:val="auto"/>
              </w:rPr>
              <w:t>(1)</w:t>
            </w: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Income</w:t>
            </w:r>
            <w:r>
              <w:rPr>
                <w:rFonts w:ascii="Times New Roman" w:cs="Times New Roman" w:eastAsia="Times New Roman" w:hAnsi="Times New Roman"/>
                <w:sz w:val="9"/>
                <w:szCs w:val="9"/>
                <w:b w:val="1"/>
                <w:bCs w:val="1"/>
                <w:color w:val="auto"/>
              </w:rPr>
              <w:t>(2)</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MBS</w:t>
            </w:r>
          </w:p>
        </w:tc>
        <w:tc>
          <w:tcPr>
            <w:tcW w:w="12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Agreements</w:t>
            </w:r>
            <w:r>
              <w:rPr>
                <w:rFonts w:ascii="Times New Roman" w:cs="Times New Roman" w:eastAsia="Times New Roman" w:hAnsi="Times New Roman"/>
                <w:sz w:val="9"/>
                <w:szCs w:val="9"/>
                <w:b w:val="1"/>
                <w:bCs w:val="1"/>
                <w:color w:val="auto"/>
                <w:w w:val="99"/>
              </w:rPr>
              <w:t>(1)</w:t>
            </w:r>
          </w:p>
        </w:tc>
        <w:tc>
          <w:tcPr>
            <w:tcW w:w="140" w:type="dxa"/>
            <w:vAlign w:val="bottom"/>
            <w:tcBorders>
              <w:bottom w:val="single" w:sz="8" w:color="auto"/>
            </w:tcBorders>
          </w:tcPr>
          <w:p>
            <w:pPr>
              <w:spacing w:after="0"/>
              <w:rPr>
                <w:sz w:val="22"/>
                <w:szCs w:val="22"/>
                <w:color w:val="auto"/>
              </w:rPr>
            </w:pPr>
          </w:p>
        </w:tc>
        <w:tc>
          <w:tcPr>
            <w:tcW w:w="110" w:type="dxa"/>
            <w:vAlign w:val="bottom"/>
            <w:tcBorders>
              <w:bottom w:val="single" w:sz="8" w:color="auto"/>
            </w:tcBorders>
          </w:tcPr>
          <w:p>
            <w:pPr>
              <w:spacing w:after="0"/>
              <w:rPr>
                <w:sz w:val="22"/>
                <w:szCs w:val="22"/>
                <w:color w:val="auto"/>
              </w:rPr>
            </w:pPr>
          </w:p>
        </w:tc>
        <w:tc>
          <w:tcPr>
            <w:tcW w:w="3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Basis</w:t>
            </w: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Basis</w:t>
            </w:r>
            <w:r>
              <w:rPr>
                <w:rFonts w:ascii="Times New Roman" w:cs="Times New Roman" w:eastAsia="Times New Roman" w:hAnsi="Times New Roman"/>
                <w:sz w:val="9"/>
                <w:szCs w:val="9"/>
                <w:b w:val="1"/>
                <w:bCs w:val="1"/>
                <w:color w:val="auto"/>
              </w:rPr>
              <w:t>(2)</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Basis</w:t>
            </w: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Basis</w:t>
            </w:r>
            <w:r>
              <w:rPr>
                <w:rFonts w:ascii="Times New Roman" w:cs="Times New Roman" w:eastAsia="Times New Roman" w:hAnsi="Times New Roman"/>
                <w:sz w:val="9"/>
                <w:szCs w:val="9"/>
                <w:b w:val="1"/>
                <w:bCs w:val="1"/>
                <w:color w:val="auto"/>
              </w:rPr>
              <w:t>(3)</w:t>
            </w:r>
          </w:p>
        </w:tc>
      </w:tr>
      <w:tr>
        <w:trPr>
          <w:trHeight w:val="182"/>
        </w:trPr>
        <w:tc>
          <w:tcPr>
            <w:tcW w:w="214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74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96,668</w:t>
            </w:r>
          </w:p>
        </w:tc>
        <w:tc>
          <w:tcPr>
            <w:tcW w:w="2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74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1,451</w:t>
            </w:r>
          </w:p>
        </w:tc>
        <w:tc>
          <w:tcPr>
            <w:tcW w:w="300" w:type="dxa"/>
            <w:vAlign w:val="bottom"/>
            <w:tcBorders>
              <w:top w:val="single" w:sz="8" w:color="DDDDDD"/>
              <w:bottom w:val="single" w:sz="8" w:color="DDDDDD"/>
            </w:tcBorders>
            <w:shd w:val="clear" w:color="auto" w:fill="DDDDDD"/>
          </w:tcPr>
          <w:p>
            <w:pPr>
              <w:spacing w:after="0"/>
              <w:rPr>
                <w:sz w:val="15"/>
                <w:szCs w:val="15"/>
                <w:color w:val="auto"/>
              </w:rPr>
            </w:pPr>
          </w:p>
        </w:tc>
        <w:tc>
          <w:tcPr>
            <w:tcW w:w="74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6.00</w:t>
            </w:r>
          </w:p>
        </w:tc>
        <w:tc>
          <w:tcPr>
            <w:tcW w:w="14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12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8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64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92,640</w:t>
            </w:r>
          </w:p>
        </w:tc>
        <w:tc>
          <w:tcPr>
            <w:tcW w:w="40" w:type="dxa"/>
            <w:vAlign w:val="bottom"/>
            <w:tcBorders>
              <w:top w:val="single" w:sz="8" w:color="DDDDDD"/>
              <w:bottom w:val="single" w:sz="8" w:color="DDDDDD"/>
            </w:tcBorders>
            <w:shd w:val="clear" w:color="auto" w:fill="DDDDDD"/>
          </w:tcPr>
          <w:p>
            <w:pPr>
              <w:spacing w:after="0"/>
              <w:rPr>
                <w:sz w:val="15"/>
                <w:szCs w:val="15"/>
                <w:color w:val="auto"/>
              </w:rPr>
            </w:pPr>
          </w:p>
        </w:tc>
        <w:tc>
          <w:tcPr>
            <w:tcW w:w="140" w:type="dxa"/>
            <w:vAlign w:val="bottom"/>
            <w:tcBorders>
              <w:top w:val="single" w:sz="8" w:color="DDDDDD"/>
              <w:bottom w:val="single" w:sz="8" w:color="DDDDDD"/>
            </w:tcBorders>
            <w:shd w:val="clear" w:color="auto" w:fill="DDDDDD"/>
          </w:tcPr>
          <w:p>
            <w:pPr>
              <w:spacing w:after="0"/>
              <w:rPr>
                <w:sz w:val="15"/>
                <w:szCs w:val="15"/>
                <w:color w:val="auto"/>
              </w:rPr>
            </w:pPr>
          </w:p>
        </w:tc>
        <w:tc>
          <w:tcPr>
            <w:tcW w:w="11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30" w:type="dxa"/>
            <w:vAlign w:val="bottom"/>
            <w:tcBorders>
              <w:top w:val="single" w:sz="8" w:color="DDDDDD"/>
              <w:bottom w:val="single" w:sz="8" w:color="DDDDDD"/>
            </w:tcBorders>
            <w:shd w:val="clear" w:color="auto" w:fill="DDDDDD"/>
          </w:tcPr>
          <w:p>
            <w:pPr>
              <w:spacing w:after="0"/>
              <w:rPr>
                <w:sz w:val="15"/>
                <w:szCs w:val="15"/>
                <w:color w:val="auto"/>
              </w:rPr>
            </w:pPr>
          </w:p>
        </w:tc>
        <w:tc>
          <w:tcPr>
            <w:tcW w:w="720" w:type="dxa"/>
            <w:vAlign w:val="bottom"/>
            <w:tcBorders>
              <w:top w:val="single" w:sz="8" w:color="DDDDDD"/>
              <w:bottom w:val="single" w:sz="8" w:color="DDDDDD"/>
            </w:tcBorders>
            <w:gridSpan w:val="2"/>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1,022</w:t>
            </w:r>
          </w:p>
        </w:tc>
        <w:tc>
          <w:tcPr>
            <w:tcW w:w="18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280" w:type="dxa"/>
            <w:vAlign w:val="bottom"/>
            <w:tcBorders>
              <w:top w:val="single" w:sz="8" w:color="DDDDDD"/>
              <w:bottom w:val="single" w:sz="8" w:color="DDDDDD"/>
            </w:tcBorders>
            <w:shd w:val="clear" w:color="auto" w:fill="DDDDDD"/>
          </w:tcPr>
          <w:p>
            <w:pPr>
              <w:spacing w:after="0"/>
              <w:rPr>
                <w:sz w:val="15"/>
                <w:szCs w:val="15"/>
                <w:color w:val="auto"/>
              </w:rPr>
            </w:pPr>
          </w:p>
        </w:tc>
        <w:tc>
          <w:tcPr>
            <w:tcW w:w="460" w:type="dxa"/>
            <w:vAlign w:val="bottom"/>
            <w:tcBorders>
              <w:top w:val="single" w:sz="8" w:color="DDDDDD"/>
              <w:bottom w:val="single" w:sz="8" w:color="DDDDDD"/>
            </w:tcBorders>
            <w:gridSpan w:val="3"/>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913</w:t>
            </w:r>
          </w:p>
        </w:tc>
        <w:tc>
          <w:tcPr>
            <w:tcW w:w="20" w:type="dxa"/>
            <w:vAlign w:val="bottom"/>
            <w:tcBorders>
              <w:top w:val="single" w:sz="8" w:color="DDDDDD"/>
            </w:tcBorders>
          </w:tcPr>
          <w:p>
            <w:pPr>
              <w:spacing w:after="0"/>
              <w:rPr>
                <w:sz w:val="15"/>
                <w:szCs w:val="15"/>
                <w:color w:val="auto"/>
              </w:rPr>
            </w:pPr>
          </w:p>
        </w:tc>
        <w:tc>
          <w:tcPr>
            <w:tcW w:w="80" w:type="dxa"/>
            <w:vAlign w:val="bottom"/>
            <w:tcBorders>
              <w:top w:val="single" w:sz="8" w:color="DDDDDD"/>
              <w:bottom w:val="single" w:sz="8" w:color="DDDDDD"/>
            </w:tcBorders>
            <w:shd w:val="clear" w:color="auto" w:fill="DDDDDD"/>
          </w:tcPr>
          <w:p>
            <w:pPr>
              <w:spacing w:after="0"/>
              <w:rPr>
                <w:sz w:val="15"/>
                <w:szCs w:val="15"/>
                <w:color w:val="auto"/>
              </w:rPr>
            </w:pPr>
          </w:p>
        </w:tc>
        <w:tc>
          <w:tcPr>
            <w:tcW w:w="80" w:type="dxa"/>
            <w:vAlign w:val="bottom"/>
            <w:tcBorders>
              <w:top w:val="single" w:sz="8" w:color="DDDDDD"/>
              <w:bottom w:val="single" w:sz="8" w:color="DDDDDD"/>
            </w:tcBorders>
            <w:shd w:val="clear" w:color="auto" w:fill="DDDDDD"/>
          </w:tcPr>
          <w:p>
            <w:pPr>
              <w:spacing w:after="0"/>
              <w:rPr>
                <w:sz w:val="15"/>
                <w:szCs w:val="15"/>
                <w:color w:val="auto"/>
              </w:rPr>
            </w:pP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730" w:type="dxa"/>
            <w:vAlign w:val="bottom"/>
            <w:tcBorders>
              <w:top w:val="single" w:sz="8" w:color="DDDDDD"/>
              <w:bottom w:val="single" w:sz="8" w:color="DDDDDD"/>
            </w:tcBorders>
            <w:gridSpan w:val="2"/>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4.41</w:t>
            </w:r>
          </w:p>
        </w:tc>
        <w:tc>
          <w:tcPr>
            <w:tcW w:w="15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200" w:type="dxa"/>
            <w:vAlign w:val="bottom"/>
            <w:tcBorders>
              <w:top w:val="single" w:sz="8" w:color="DDDDDD"/>
              <w:bottom w:val="single" w:sz="8" w:color="DDDDDD"/>
            </w:tcBorders>
            <w:shd w:val="clear" w:color="auto" w:fill="DDDDDD"/>
          </w:tcPr>
          <w:p>
            <w:pPr>
              <w:spacing w:after="0"/>
              <w:rPr>
                <w:sz w:val="15"/>
                <w:szCs w:val="15"/>
                <w:color w:val="auto"/>
              </w:rPr>
            </w:pPr>
          </w:p>
        </w:tc>
        <w:tc>
          <w:tcPr>
            <w:tcW w:w="75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3.94</w:t>
            </w:r>
          </w:p>
        </w:tc>
        <w:tc>
          <w:tcPr>
            <w:tcW w:w="15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79"/>
              </w:rPr>
              <w:t>%</w:t>
            </w:r>
          </w:p>
        </w:tc>
      </w:tr>
      <w:tr>
        <w:trPr>
          <w:trHeight w:val="202"/>
        </w:trPr>
        <w:tc>
          <w:tcPr>
            <w:tcW w:w="2140" w:type="dxa"/>
            <w:vAlign w:val="bottom"/>
            <w:tcBorders>
              <w:bottom w:val="single" w:sz="8" w:color="DDDDDD"/>
            </w:tcBorders>
          </w:tcPr>
          <w:p>
            <w:pPr>
              <w:spacing w:after="0" w:line="202" w:lineRule="exact"/>
              <w:rPr>
                <w:sz w:val="20"/>
                <w:szCs w:val="20"/>
                <w:color w:val="auto"/>
              </w:rPr>
            </w:pPr>
            <w:r>
              <w:rPr>
                <w:rFonts w:ascii="Times New Roman" w:cs="Times New Roman" w:eastAsia="Times New Roman" w:hAnsi="Times New Roman"/>
                <w:sz w:val="18"/>
                <w:szCs w:val="18"/>
                <w:color w:val="auto"/>
              </w:rPr>
              <w:t>September 30, 2025</w:t>
            </w:r>
          </w:p>
        </w:tc>
        <w:tc>
          <w:tcPr>
            <w:tcW w:w="1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74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106,016</w:t>
            </w:r>
          </w:p>
        </w:tc>
        <w:tc>
          <w:tcPr>
            <w:tcW w:w="2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74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1,534</w:t>
            </w:r>
          </w:p>
        </w:tc>
        <w:tc>
          <w:tcPr>
            <w:tcW w:w="1040" w:type="dxa"/>
            <w:vAlign w:val="bottom"/>
            <w:tcBorders>
              <w:bottom w:val="single" w:sz="8" w:color="DDDDDD"/>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5.79</w:t>
            </w:r>
          </w:p>
        </w:tc>
        <w:tc>
          <w:tcPr>
            <w:tcW w:w="14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18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64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100,848</w:t>
            </w:r>
          </w:p>
        </w:tc>
        <w:tc>
          <w:tcPr>
            <w:tcW w:w="40" w:type="dxa"/>
            <w:vAlign w:val="bottom"/>
            <w:tcBorders>
              <w:bottom w:val="single" w:sz="8" w:color="DDDDDD"/>
            </w:tcBorders>
          </w:tcPr>
          <w:p>
            <w:pPr>
              <w:spacing w:after="0"/>
              <w:rPr>
                <w:sz w:val="17"/>
                <w:szCs w:val="17"/>
                <w:color w:val="auto"/>
              </w:rPr>
            </w:pPr>
          </w:p>
        </w:tc>
        <w:tc>
          <w:tcPr>
            <w:tcW w:w="140" w:type="dxa"/>
            <w:vAlign w:val="bottom"/>
            <w:tcBorders>
              <w:bottom w:val="single" w:sz="8" w:color="DDDDDD"/>
            </w:tcBorders>
          </w:tcPr>
          <w:p>
            <w:pPr>
              <w:spacing w:after="0"/>
              <w:rPr>
                <w:sz w:val="17"/>
                <w:szCs w:val="17"/>
                <w:color w:val="auto"/>
              </w:rPr>
            </w:pPr>
          </w:p>
        </w:tc>
        <w:tc>
          <w:tcPr>
            <w:tcW w:w="110" w:type="dxa"/>
            <w:vAlign w:val="bottom"/>
            <w:tcBorders>
              <w:bottom w:val="single" w:sz="8" w:color="DDDDDD"/>
            </w:tcBorders>
          </w:tcPr>
          <w:p>
            <w:pPr>
              <w:spacing w:after="0"/>
              <w:rPr>
                <w:sz w:val="17"/>
                <w:szCs w:val="17"/>
                <w:color w:val="auto"/>
              </w:rPr>
            </w:pPr>
          </w:p>
        </w:tc>
        <w:tc>
          <w:tcPr>
            <w:tcW w:w="30" w:type="dxa"/>
            <w:vAlign w:val="bottom"/>
            <w:tcBorders>
              <w:bottom w:val="single" w:sz="8" w:color="DDDDDD"/>
            </w:tcBorders>
          </w:tcPr>
          <w:p>
            <w:pPr>
              <w:spacing w:after="0"/>
              <w:rPr>
                <w:sz w:val="17"/>
                <w:szCs w:val="17"/>
                <w:color w:val="auto"/>
              </w:rPr>
            </w:pPr>
          </w:p>
        </w:tc>
        <w:tc>
          <w:tcPr>
            <w:tcW w:w="720" w:type="dxa"/>
            <w:vAlign w:val="bottom"/>
            <w:tcBorders>
              <w:bottom w:val="single" w:sz="8" w:color="DDDDDD"/>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1,157</w:t>
            </w:r>
          </w:p>
        </w:tc>
        <w:tc>
          <w:tcPr>
            <w:tcW w:w="18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280" w:type="dxa"/>
            <w:vAlign w:val="bottom"/>
            <w:tcBorders>
              <w:bottom w:val="single" w:sz="8" w:color="DDDDDD"/>
            </w:tcBorders>
          </w:tcPr>
          <w:p>
            <w:pPr>
              <w:spacing w:after="0"/>
              <w:rPr>
                <w:sz w:val="17"/>
                <w:szCs w:val="17"/>
                <w:color w:val="auto"/>
              </w:rPr>
            </w:pPr>
          </w:p>
        </w:tc>
        <w:tc>
          <w:tcPr>
            <w:tcW w:w="460" w:type="dxa"/>
            <w:vAlign w:val="bottom"/>
            <w:tcBorders>
              <w:bottom w:val="single" w:sz="8" w:color="DDDDDD"/>
            </w:tcBorders>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1,049</w:t>
            </w:r>
          </w:p>
        </w:tc>
        <w:tc>
          <w:tcPr>
            <w:tcW w:w="20" w:type="dxa"/>
            <w:vAlign w:val="bottom"/>
            <w:tcBorders>
              <w:bottom w:val="single" w:sz="8" w:color="DDDDDD"/>
            </w:tcBorders>
          </w:tcPr>
          <w:p>
            <w:pPr>
              <w:spacing w:after="0"/>
              <w:rPr>
                <w:sz w:val="17"/>
                <w:szCs w:val="17"/>
                <w:color w:val="auto"/>
              </w:rPr>
            </w:pPr>
          </w:p>
        </w:tc>
        <w:tc>
          <w:tcPr>
            <w:tcW w:w="1160" w:type="dxa"/>
            <w:vAlign w:val="bottom"/>
            <w:tcBorders>
              <w:bottom w:val="single" w:sz="8" w:color="DDDDDD"/>
            </w:tcBorders>
            <w:gridSpan w:val="6"/>
          </w:tcPr>
          <w:p>
            <w:pPr>
              <w:jc w:val="right"/>
              <w:spacing w:after="0" w:line="202" w:lineRule="exact"/>
              <w:rPr>
                <w:sz w:val="20"/>
                <w:szCs w:val="20"/>
                <w:color w:val="auto"/>
              </w:rPr>
            </w:pPr>
            <w:r>
              <w:rPr>
                <w:rFonts w:ascii="Times New Roman" w:cs="Times New Roman" w:eastAsia="Times New Roman" w:hAnsi="Times New Roman"/>
                <w:sz w:val="18"/>
                <w:szCs w:val="18"/>
                <w:color w:val="auto"/>
              </w:rPr>
              <w:t>4.59 %</w:t>
            </w:r>
          </w:p>
        </w:tc>
        <w:tc>
          <w:tcPr>
            <w:tcW w:w="1100" w:type="dxa"/>
            <w:vAlign w:val="bottom"/>
            <w:tcBorders>
              <w:bottom w:val="single" w:sz="8" w:color="DDDDDD"/>
            </w:tcBorders>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4.16 %</w:t>
            </w:r>
          </w:p>
        </w:tc>
      </w:tr>
      <w:tr>
        <w:trPr>
          <w:trHeight w:val="191"/>
        </w:trPr>
        <w:tc>
          <w:tcPr>
            <w:tcW w:w="214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June 30, 2025</w:t>
            </w:r>
          </w:p>
        </w:tc>
        <w:tc>
          <w:tcPr>
            <w:tcW w:w="1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114,294</w:t>
            </w:r>
          </w:p>
        </w:tc>
        <w:tc>
          <w:tcPr>
            <w:tcW w:w="2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1,582</w:t>
            </w:r>
          </w:p>
        </w:tc>
        <w:tc>
          <w:tcPr>
            <w:tcW w:w="30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5.54</w:t>
            </w:r>
          </w:p>
        </w:tc>
        <w:tc>
          <w:tcPr>
            <w:tcW w:w="1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12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18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6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108,626</w:t>
            </w:r>
          </w:p>
        </w:tc>
        <w:tc>
          <w:tcPr>
            <w:tcW w:w="40" w:type="dxa"/>
            <w:vAlign w:val="bottom"/>
            <w:tcBorders>
              <w:bottom w:val="single" w:sz="8" w:color="DDDDDD"/>
            </w:tcBorders>
            <w:shd w:val="clear" w:color="auto" w:fill="DDDDDD"/>
          </w:tcPr>
          <w:p>
            <w:pPr>
              <w:spacing w:after="0"/>
              <w:rPr>
                <w:sz w:val="16"/>
                <w:szCs w:val="16"/>
                <w:color w:val="auto"/>
              </w:rPr>
            </w:pPr>
          </w:p>
        </w:tc>
        <w:tc>
          <w:tcPr>
            <w:tcW w:w="140" w:type="dxa"/>
            <w:vAlign w:val="bottom"/>
            <w:tcBorders>
              <w:bottom w:val="single" w:sz="8" w:color="DDDDDD"/>
            </w:tcBorders>
            <w:shd w:val="clear" w:color="auto" w:fill="DDDDDD"/>
          </w:tcPr>
          <w:p>
            <w:pPr>
              <w:spacing w:after="0"/>
              <w:rPr>
                <w:sz w:val="16"/>
                <w:szCs w:val="16"/>
                <w:color w:val="auto"/>
              </w:rPr>
            </w:pPr>
          </w:p>
        </w:tc>
        <w:tc>
          <w:tcPr>
            <w:tcW w:w="110" w:type="dxa"/>
            <w:vAlign w:val="bottom"/>
            <w:tcBorders>
              <w:bottom w:val="single" w:sz="8" w:color="DDDDDD"/>
            </w:tcBorders>
            <w:shd w:val="clear" w:color="auto" w:fill="DDDDDD"/>
          </w:tcPr>
          <w:p>
            <w:pPr>
              <w:spacing w:after="0"/>
              <w:rPr>
                <w:sz w:val="16"/>
                <w:szCs w:val="16"/>
                <w:color w:val="auto"/>
              </w:rPr>
            </w:pPr>
          </w:p>
        </w:tc>
        <w:tc>
          <w:tcPr>
            <w:tcW w:w="30" w:type="dxa"/>
            <w:vAlign w:val="bottom"/>
            <w:tcBorders>
              <w:bottom w:val="single" w:sz="8" w:color="DDDDDD"/>
            </w:tcBorders>
            <w:shd w:val="clear" w:color="auto" w:fill="DDDDDD"/>
          </w:tcPr>
          <w:p>
            <w:pPr>
              <w:spacing w:after="0"/>
              <w:rPr>
                <w:sz w:val="16"/>
                <w:szCs w:val="16"/>
                <w:color w:val="auto"/>
              </w:rPr>
            </w:pPr>
          </w:p>
        </w:tc>
        <w:tc>
          <w:tcPr>
            <w:tcW w:w="720" w:type="dxa"/>
            <w:vAlign w:val="bottom"/>
            <w:tcBorders>
              <w:bottom w:val="single" w:sz="8" w:color="DDDDDD"/>
            </w:tcBorders>
            <w:gridSpan w:val="2"/>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1,191</w:t>
            </w:r>
          </w:p>
        </w:tc>
        <w:tc>
          <w:tcPr>
            <w:tcW w:w="18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280" w:type="dxa"/>
            <w:vAlign w:val="bottom"/>
            <w:tcBorders>
              <w:bottom w:val="single" w:sz="8" w:color="DDDDDD"/>
            </w:tcBorders>
            <w:shd w:val="clear" w:color="auto" w:fill="DDDDDD"/>
          </w:tcPr>
          <w:p>
            <w:pPr>
              <w:spacing w:after="0"/>
              <w:rPr>
                <w:sz w:val="16"/>
                <w:szCs w:val="16"/>
                <w:color w:val="auto"/>
              </w:rPr>
            </w:pPr>
          </w:p>
        </w:tc>
        <w:tc>
          <w:tcPr>
            <w:tcW w:w="460" w:type="dxa"/>
            <w:vAlign w:val="bottom"/>
            <w:tcBorders>
              <w:bottom w:val="single" w:sz="8" w:color="DDDDDD"/>
            </w:tcBorders>
            <w:gridSpan w:val="3"/>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1,079</w:t>
            </w:r>
          </w:p>
        </w:tc>
        <w:tc>
          <w:tcPr>
            <w:tcW w:w="20" w:type="dxa"/>
            <w:vAlign w:val="bottom"/>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730" w:type="dxa"/>
            <w:vAlign w:val="bottom"/>
            <w:tcBorders>
              <w:bottom w:val="single" w:sz="8" w:color="DDDDDD"/>
            </w:tcBorders>
            <w:gridSpan w:val="2"/>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4.39</w:t>
            </w:r>
          </w:p>
        </w:tc>
        <w:tc>
          <w:tcPr>
            <w:tcW w:w="1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200" w:type="dxa"/>
            <w:vAlign w:val="bottom"/>
            <w:tcBorders>
              <w:bottom w:val="single" w:sz="8" w:color="DDDDDD"/>
            </w:tcBorders>
            <w:shd w:val="clear" w:color="auto" w:fill="DDDDDD"/>
          </w:tcPr>
          <w:p>
            <w:pPr>
              <w:spacing w:after="0"/>
              <w:rPr>
                <w:sz w:val="16"/>
                <w:szCs w:val="16"/>
                <w:color w:val="auto"/>
              </w:rPr>
            </w:pPr>
          </w:p>
        </w:tc>
        <w:tc>
          <w:tcPr>
            <w:tcW w:w="7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3.97</w:t>
            </w:r>
          </w:p>
        </w:tc>
        <w:tc>
          <w:tcPr>
            <w:tcW w:w="1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r>
      <w:tr>
        <w:trPr>
          <w:trHeight w:val="202"/>
        </w:trPr>
        <w:tc>
          <w:tcPr>
            <w:tcW w:w="2140" w:type="dxa"/>
            <w:vAlign w:val="bottom"/>
            <w:tcBorders>
              <w:bottom w:val="single" w:sz="8" w:color="DDDDDD"/>
            </w:tcBorders>
          </w:tcPr>
          <w:p>
            <w:pPr>
              <w:spacing w:after="0" w:line="202" w:lineRule="exact"/>
              <w:rPr>
                <w:sz w:val="20"/>
                <w:szCs w:val="20"/>
                <w:color w:val="auto"/>
              </w:rPr>
            </w:pPr>
            <w:r>
              <w:rPr>
                <w:rFonts w:ascii="Times New Roman" w:cs="Times New Roman" w:eastAsia="Times New Roman" w:hAnsi="Times New Roman"/>
                <w:sz w:val="18"/>
                <w:szCs w:val="18"/>
                <w:color w:val="auto"/>
              </w:rPr>
              <w:t>March 31, 2025</w:t>
            </w:r>
          </w:p>
        </w:tc>
        <w:tc>
          <w:tcPr>
            <w:tcW w:w="1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74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121,657</w:t>
            </w:r>
          </w:p>
        </w:tc>
        <w:tc>
          <w:tcPr>
            <w:tcW w:w="2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74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1,742</w:t>
            </w:r>
          </w:p>
        </w:tc>
        <w:tc>
          <w:tcPr>
            <w:tcW w:w="1040" w:type="dxa"/>
            <w:vAlign w:val="bottom"/>
            <w:tcBorders>
              <w:bottom w:val="single" w:sz="8" w:color="DDDDDD"/>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5.73</w:t>
            </w:r>
          </w:p>
        </w:tc>
        <w:tc>
          <w:tcPr>
            <w:tcW w:w="14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18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64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116,346</w:t>
            </w:r>
          </w:p>
        </w:tc>
        <w:tc>
          <w:tcPr>
            <w:tcW w:w="40" w:type="dxa"/>
            <w:vAlign w:val="bottom"/>
            <w:tcBorders>
              <w:bottom w:val="single" w:sz="8" w:color="DDDDDD"/>
            </w:tcBorders>
          </w:tcPr>
          <w:p>
            <w:pPr>
              <w:spacing w:after="0"/>
              <w:rPr>
                <w:sz w:val="17"/>
                <w:szCs w:val="17"/>
                <w:color w:val="auto"/>
              </w:rPr>
            </w:pPr>
          </w:p>
        </w:tc>
        <w:tc>
          <w:tcPr>
            <w:tcW w:w="140" w:type="dxa"/>
            <w:vAlign w:val="bottom"/>
            <w:tcBorders>
              <w:bottom w:val="single" w:sz="8" w:color="DDDDDD"/>
            </w:tcBorders>
          </w:tcPr>
          <w:p>
            <w:pPr>
              <w:spacing w:after="0"/>
              <w:rPr>
                <w:sz w:val="17"/>
                <w:szCs w:val="17"/>
                <w:color w:val="auto"/>
              </w:rPr>
            </w:pPr>
          </w:p>
        </w:tc>
        <w:tc>
          <w:tcPr>
            <w:tcW w:w="110" w:type="dxa"/>
            <w:vAlign w:val="bottom"/>
            <w:tcBorders>
              <w:bottom w:val="single" w:sz="8" w:color="DDDDDD"/>
            </w:tcBorders>
          </w:tcPr>
          <w:p>
            <w:pPr>
              <w:spacing w:after="0"/>
              <w:rPr>
                <w:sz w:val="17"/>
                <w:szCs w:val="17"/>
                <w:color w:val="auto"/>
              </w:rPr>
            </w:pPr>
          </w:p>
        </w:tc>
        <w:tc>
          <w:tcPr>
            <w:tcW w:w="30" w:type="dxa"/>
            <w:vAlign w:val="bottom"/>
            <w:tcBorders>
              <w:bottom w:val="single" w:sz="8" w:color="DDDDDD"/>
            </w:tcBorders>
          </w:tcPr>
          <w:p>
            <w:pPr>
              <w:spacing w:after="0"/>
              <w:rPr>
                <w:sz w:val="17"/>
                <w:szCs w:val="17"/>
                <w:color w:val="auto"/>
              </w:rPr>
            </w:pPr>
          </w:p>
        </w:tc>
        <w:tc>
          <w:tcPr>
            <w:tcW w:w="720" w:type="dxa"/>
            <w:vAlign w:val="bottom"/>
            <w:tcBorders>
              <w:bottom w:val="single" w:sz="8" w:color="DDDDDD"/>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1,307</w:t>
            </w:r>
          </w:p>
        </w:tc>
        <w:tc>
          <w:tcPr>
            <w:tcW w:w="18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280" w:type="dxa"/>
            <w:vAlign w:val="bottom"/>
            <w:tcBorders>
              <w:bottom w:val="single" w:sz="8" w:color="DDDDDD"/>
            </w:tcBorders>
          </w:tcPr>
          <w:p>
            <w:pPr>
              <w:spacing w:after="0"/>
              <w:rPr>
                <w:sz w:val="17"/>
                <w:szCs w:val="17"/>
                <w:color w:val="auto"/>
              </w:rPr>
            </w:pPr>
          </w:p>
        </w:tc>
        <w:tc>
          <w:tcPr>
            <w:tcW w:w="460" w:type="dxa"/>
            <w:vAlign w:val="bottom"/>
            <w:tcBorders>
              <w:bottom w:val="single" w:sz="8" w:color="DDDDDD"/>
            </w:tcBorders>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1,201</w:t>
            </w:r>
          </w:p>
        </w:tc>
        <w:tc>
          <w:tcPr>
            <w:tcW w:w="20" w:type="dxa"/>
            <w:vAlign w:val="bottom"/>
            <w:tcBorders>
              <w:bottom w:val="single" w:sz="8" w:color="DDDDDD"/>
            </w:tcBorders>
          </w:tcPr>
          <w:p>
            <w:pPr>
              <w:spacing w:after="0"/>
              <w:rPr>
                <w:sz w:val="17"/>
                <w:szCs w:val="17"/>
                <w:color w:val="auto"/>
              </w:rPr>
            </w:pPr>
          </w:p>
        </w:tc>
        <w:tc>
          <w:tcPr>
            <w:tcW w:w="1160" w:type="dxa"/>
            <w:vAlign w:val="bottom"/>
            <w:tcBorders>
              <w:bottom w:val="single" w:sz="8" w:color="DDDDDD"/>
            </w:tcBorders>
            <w:gridSpan w:val="6"/>
          </w:tcPr>
          <w:p>
            <w:pPr>
              <w:jc w:val="right"/>
              <w:spacing w:after="0" w:line="202" w:lineRule="exact"/>
              <w:rPr>
                <w:sz w:val="20"/>
                <w:szCs w:val="20"/>
                <w:color w:val="auto"/>
              </w:rPr>
            </w:pPr>
            <w:r>
              <w:rPr>
                <w:rFonts w:ascii="Times New Roman" w:cs="Times New Roman" w:eastAsia="Times New Roman" w:hAnsi="Times New Roman"/>
                <w:sz w:val="18"/>
                <w:szCs w:val="18"/>
                <w:color w:val="auto"/>
              </w:rPr>
              <w:t>4.49 %</w:t>
            </w:r>
          </w:p>
        </w:tc>
        <w:tc>
          <w:tcPr>
            <w:tcW w:w="1100" w:type="dxa"/>
            <w:vAlign w:val="bottom"/>
            <w:tcBorders>
              <w:bottom w:val="single" w:sz="8" w:color="DDDDDD"/>
            </w:tcBorders>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4.13 %</w:t>
            </w:r>
          </w:p>
        </w:tc>
      </w:tr>
      <w:tr>
        <w:trPr>
          <w:trHeight w:val="192"/>
        </w:trPr>
        <w:tc>
          <w:tcPr>
            <w:tcW w:w="2140" w:type="dxa"/>
            <w:vAlign w:val="bottom"/>
            <w:tcBorders>
              <w:bottom w:val="single" w:sz="8" w:color="DDDDDD"/>
            </w:tcBorders>
            <w:shd w:val="clear" w:color="auto" w:fill="DDDDDD"/>
          </w:tcPr>
          <w:p>
            <w:pPr>
              <w:spacing w:after="0" w:line="193" w:lineRule="exact"/>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120,388</w:t>
            </w:r>
          </w:p>
        </w:tc>
        <w:tc>
          <w:tcPr>
            <w:tcW w:w="2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1,673</w:t>
            </w:r>
          </w:p>
        </w:tc>
        <w:tc>
          <w:tcPr>
            <w:tcW w:w="30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5.56</w:t>
            </w:r>
          </w:p>
        </w:tc>
        <w:tc>
          <w:tcPr>
            <w:tcW w:w="14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12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18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64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115,102</w:t>
            </w:r>
          </w:p>
        </w:tc>
        <w:tc>
          <w:tcPr>
            <w:tcW w:w="40" w:type="dxa"/>
            <w:vAlign w:val="bottom"/>
            <w:tcBorders>
              <w:bottom w:val="single" w:sz="8" w:color="DDDDDD"/>
            </w:tcBorders>
            <w:shd w:val="clear" w:color="auto" w:fill="DDDDDD"/>
          </w:tcPr>
          <w:p>
            <w:pPr>
              <w:spacing w:after="0"/>
              <w:rPr>
                <w:sz w:val="16"/>
                <w:szCs w:val="16"/>
                <w:color w:val="auto"/>
              </w:rPr>
            </w:pPr>
          </w:p>
        </w:tc>
        <w:tc>
          <w:tcPr>
            <w:tcW w:w="140" w:type="dxa"/>
            <w:vAlign w:val="bottom"/>
            <w:tcBorders>
              <w:bottom w:val="single" w:sz="8" w:color="DDDDDD"/>
            </w:tcBorders>
            <w:shd w:val="clear" w:color="auto" w:fill="DDDDDD"/>
          </w:tcPr>
          <w:p>
            <w:pPr>
              <w:spacing w:after="0"/>
              <w:rPr>
                <w:sz w:val="16"/>
                <w:szCs w:val="16"/>
                <w:color w:val="auto"/>
              </w:rPr>
            </w:pPr>
          </w:p>
        </w:tc>
        <w:tc>
          <w:tcPr>
            <w:tcW w:w="110" w:type="dxa"/>
            <w:vAlign w:val="bottom"/>
            <w:tcBorders>
              <w:bottom w:val="single" w:sz="8" w:color="DDDDDD"/>
            </w:tcBorders>
            <w:shd w:val="clear" w:color="auto" w:fill="DDDDDD"/>
          </w:tcPr>
          <w:p>
            <w:pPr>
              <w:spacing w:after="0"/>
              <w:rPr>
                <w:sz w:val="16"/>
                <w:szCs w:val="16"/>
                <w:color w:val="auto"/>
              </w:rPr>
            </w:pPr>
          </w:p>
        </w:tc>
        <w:tc>
          <w:tcPr>
            <w:tcW w:w="30" w:type="dxa"/>
            <w:vAlign w:val="bottom"/>
            <w:tcBorders>
              <w:bottom w:val="single" w:sz="8" w:color="DDDDDD"/>
            </w:tcBorders>
            <w:shd w:val="clear" w:color="auto" w:fill="DDDDDD"/>
          </w:tcPr>
          <w:p>
            <w:pPr>
              <w:spacing w:after="0"/>
              <w:rPr>
                <w:sz w:val="16"/>
                <w:szCs w:val="16"/>
                <w:color w:val="auto"/>
              </w:rPr>
            </w:pPr>
          </w:p>
        </w:tc>
        <w:tc>
          <w:tcPr>
            <w:tcW w:w="720" w:type="dxa"/>
            <w:vAlign w:val="bottom"/>
            <w:tcBorders>
              <w:bottom w:val="single" w:sz="8" w:color="DDDDDD"/>
            </w:tcBorders>
            <w:gridSpan w:val="2"/>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1,402</w:t>
            </w:r>
          </w:p>
        </w:tc>
        <w:tc>
          <w:tcPr>
            <w:tcW w:w="18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280" w:type="dxa"/>
            <w:vAlign w:val="bottom"/>
            <w:tcBorders>
              <w:bottom w:val="single" w:sz="8" w:color="DDDDDD"/>
            </w:tcBorders>
            <w:shd w:val="clear" w:color="auto" w:fill="DDDDDD"/>
          </w:tcPr>
          <w:p>
            <w:pPr>
              <w:spacing w:after="0"/>
              <w:rPr>
                <w:sz w:val="16"/>
                <w:szCs w:val="16"/>
                <w:color w:val="auto"/>
              </w:rPr>
            </w:pPr>
          </w:p>
        </w:tc>
        <w:tc>
          <w:tcPr>
            <w:tcW w:w="460" w:type="dxa"/>
            <w:vAlign w:val="bottom"/>
            <w:tcBorders>
              <w:bottom w:val="single" w:sz="8" w:color="DDDDDD"/>
            </w:tcBorders>
            <w:gridSpan w:val="3"/>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1,401</w:t>
            </w:r>
          </w:p>
        </w:tc>
        <w:tc>
          <w:tcPr>
            <w:tcW w:w="20" w:type="dxa"/>
            <w:vAlign w:val="bottom"/>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730" w:type="dxa"/>
            <w:vAlign w:val="bottom"/>
            <w:tcBorders>
              <w:bottom w:val="single" w:sz="8" w:color="DDDDDD"/>
            </w:tcBorders>
            <w:gridSpan w:val="2"/>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4.87</w:t>
            </w:r>
          </w:p>
        </w:tc>
        <w:tc>
          <w:tcPr>
            <w:tcW w:w="15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200" w:type="dxa"/>
            <w:vAlign w:val="bottom"/>
            <w:tcBorders>
              <w:bottom w:val="single" w:sz="8" w:color="DDDDDD"/>
            </w:tcBorders>
            <w:shd w:val="clear" w:color="auto" w:fill="DDDDDD"/>
          </w:tcPr>
          <w:p>
            <w:pPr>
              <w:spacing w:after="0"/>
              <w:rPr>
                <w:sz w:val="16"/>
                <w:szCs w:val="16"/>
                <w:color w:val="auto"/>
              </w:rPr>
            </w:pPr>
          </w:p>
        </w:tc>
        <w:tc>
          <w:tcPr>
            <w:tcW w:w="75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4.87</w:t>
            </w:r>
          </w:p>
        </w:tc>
        <w:tc>
          <w:tcPr>
            <w:tcW w:w="15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highlight w:val="lightGray"/>
                <w:w w:val="79"/>
              </w:rPr>
              <w:t>%</w:t>
            </w:r>
          </w:p>
        </w:tc>
      </w:tr>
      <w:tr>
        <w:trPr>
          <w:trHeight w:val="202"/>
        </w:trPr>
        <w:tc>
          <w:tcPr>
            <w:tcW w:w="2140" w:type="dxa"/>
            <w:vAlign w:val="bottom"/>
            <w:tcBorders>
              <w:bottom w:val="single" w:sz="8" w:color="DDDDDD"/>
            </w:tcBorders>
          </w:tcPr>
          <w:p>
            <w:pPr>
              <w:spacing w:after="0" w:line="202" w:lineRule="exact"/>
              <w:rPr>
                <w:sz w:val="20"/>
                <w:szCs w:val="20"/>
                <w:color w:val="auto"/>
              </w:rPr>
            </w:pPr>
            <w:r>
              <w:rPr>
                <w:rFonts w:ascii="Times New Roman" w:cs="Times New Roman" w:eastAsia="Times New Roman" w:hAnsi="Times New Roman"/>
                <w:sz w:val="18"/>
                <w:szCs w:val="18"/>
                <w:color w:val="auto"/>
              </w:rPr>
              <w:t>September 30, 2024</w:t>
            </w:r>
          </w:p>
        </w:tc>
        <w:tc>
          <w:tcPr>
            <w:tcW w:w="1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74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102,422</w:t>
            </w:r>
          </w:p>
        </w:tc>
        <w:tc>
          <w:tcPr>
            <w:tcW w:w="2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74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1,485</w:t>
            </w:r>
          </w:p>
        </w:tc>
        <w:tc>
          <w:tcPr>
            <w:tcW w:w="1040" w:type="dxa"/>
            <w:vAlign w:val="bottom"/>
            <w:tcBorders>
              <w:bottom w:val="single" w:sz="8" w:color="DDDDDD"/>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5.80</w:t>
            </w:r>
          </w:p>
        </w:tc>
        <w:tc>
          <w:tcPr>
            <w:tcW w:w="14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18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64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97,949</w:t>
            </w:r>
          </w:p>
        </w:tc>
        <w:tc>
          <w:tcPr>
            <w:tcW w:w="40" w:type="dxa"/>
            <w:vAlign w:val="bottom"/>
            <w:tcBorders>
              <w:bottom w:val="single" w:sz="8" w:color="DDDDDD"/>
            </w:tcBorders>
          </w:tcPr>
          <w:p>
            <w:pPr>
              <w:spacing w:after="0"/>
              <w:rPr>
                <w:sz w:val="17"/>
                <w:szCs w:val="17"/>
                <w:color w:val="auto"/>
              </w:rPr>
            </w:pPr>
          </w:p>
        </w:tc>
        <w:tc>
          <w:tcPr>
            <w:tcW w:w="140" w:type="dxa"/>
            <w:vAlign w:val="bottom"/>
            <w:tcBorders>
              <w:bottom w:val="single" w:sz="8" w:color="DDDDDD"/>
            </w:tcBorders>
          </w:tcPr>
          <w:p>
            <w:pPr>
              <w:spacing w:after="0"/>
              <w:rPr>
                <w:sz w:val="17"/>
                <w:szCs w:val="17"/>
                <w:color w:val="auto"/>
              </w:rPr>
            </w:pPr>
          </w:p>
        </w:tc>
        <w:tc>
          <w:tcPr>
            <w:tcW w:w="110" w:type="dxa"/>
            <w:vAlign w:val="bottom"/>
            <w:tcBorders>
              <w:bottom w:val="single" w:sz="8" w:color="DDDDDD"/>
            </w:tcBorders>
          </w:tcPr>
          <w:p>
            <w:pPr>
              <w:spacing w:after="0"/>
              <w:rPr>
                <w:sz w:val="17"/>
                <w:szCs w:val="17"/>
                <w:color w:val="auto"/>
              </w:rPr>
            </w:pPr>
          </w:p>
        </w:tc>
        <w:tc>
          <w:tcPr>
            <w:tcW w:w="30" w:type="dxa"/>
            <w:vAlign w:val="bottom"/>
            <w:tcBorders>
              <w:bottom w:val="single" w:sz="8" w:color="DDDDDD"/>
            </w:tcBorders>
          </w:tcPr>
          <w:p>
            <w:pPr>
              <w:spacing w:after="0"/>
              <w:rPr>
                <w:sz w:val="17"/>
                <w:szCs w:val="17"/>
                <w:color w:val="auto"/>
              </w:rPr>
            </w:pPr>
          </w:p>
        </w:tc>
        <w:tc>
          <w:tcPr>
            <w:tcW w:w="720" w:type="dxa"/>
            <w:vAlign w:val="bottom"/>
            <w:tcBorders>
              <w:bottom w:val="single" w:sz="8" w:color="DDDDDD"/>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1,373</w:t>
            </w:r>
          </w:p>
        </w:tc>
        <w:tc>
          <w:tcPr>
            <w:tcW w:w="18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280" w:type="dxa"/>
            <w:vAlign w:val="bottom"/>
            <w:tcBorders>
              <w:bottom w:val="single" w:sz="8" w:color="DDDDDD"/>
            </w:tcBorders>
          </w:tcPr>
          <w:p>
            <w:pPr>
              <w:spacing w:after="0"/>
              <w:rPr>
                <w:sz w:val="17"/>
                <w:szCs w:val="17"/>
                <w:color w:val="auto"/>
              </w:rPr>
            </w:pPr>
          </w:p>
        </w:tc>
        <w:tc>
          <w:tcPr>
            <w:tcW w:w="460" w:type="dxa"/>
            <w:vAlign w:val="bottom"/>
            <w:tcBorders>
              <w:bottom w:val="single" w:sz="8" w:color="DDDDDD"/>
            </w:tcBorders>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1,409</w:t>
            </w:r>
          </w:p>
        </w:tc>
        <w:tc>
          <w:tcPr>
            <w:tcW w:w="20" w:type="dxa"/>
            <w:vAlign w:val="bottom"/>
            <w:tcBorders>
              <w:bottom w:val="single" w:sz="8" w:color="DDDDDD"/>
            </w:tcBorders>
          </w:tcPr>
          <w:p>
            <w:pPr>
              <w:spacing w:after="0"/>
              <w:rPr>
                <w:sz w:val="17"/>
                <w:szCs w:val="17"/>
                <w:color w:val="auto"/>
              </w:rPr>
            </w:pPr>
          </w:p>
        </w:tc>
        <w:tc>
          <w:tcPr>
            <w:tcW w:w="1160" w:type="dxa"/>
            <w:vAlign w:val="bottom"/>
            <w:tcBorders>
              <w:bottom w:val="single" w:sz="8" w:color="DDDDDD"/>
            </w:tcBorders>
            <w:gridSpan w:val="6"/>
          </w:tcPr>
          <w:p>
            <w:pPr>
              <w:jc w:val="right"/>
              <w:spacing w:after="0" w:line="202" w:lineRule="exact"/>
              <w:rPr>
                <w:sz w:val="20"/>
                <w:szCs w:val="20"/>
                <w:color w:val="auto"/>
              </w:rPr>
            </w:pPr>
            <w:r>
              <w:rPr>
                <w:rFonts w:ascii="Times New Roman" w:cs="Times New Roman" w:eastAsia="Times New Roman" w:hAnsi="Times New Roman"/>
                <w:sz w:val="18"/>
                <w:szCs w:val="18"/>
                <w:color w:val="auto"/>
              </w:rPr>
              <w:t>5.61 %</w:t>
            </w:r>
          </w:p>
        </w:tc>
        <w:tc>
          <w:tcPr>
            <w:tcW w:w="1100" w:type="dxa"/>
            <w:vAlign w:val="bottom"/>
            <w:tcBorders>
              <w:bottom w:val="single" w:sz="8" w:color="DDDDDD"/>
            </w:tcBorders>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5.75 %</w:t>
            </w:r>
          </w:p>
        </w:tc>
      </w:tr>
      <w:tr>
        <w:trPr>
          <w:trHeight w:val="192"/>
        </w:trPr>
        <w:tc>
          <w:tcPr>
            <w:tcW w:w="2140" w:type="dxa"/>
            <w:vAlign w:val="bottom"/>
            <w:tcBorders>
              <w:bottom w:val="single" w:sz="8" w:color="DDDDDD"/>
            </w:tcBorders>
            <w:shd w:val="clear" w:color="auto" w:fill="DDDDDD"/>
          </w:tcPr>
          <w:p>
            <w:pPr>
              <w:spacing w:after="0" w:line="193" w:lineRule="exact"/>
              <w:rPr>
                <w:sz w:val="20"/>
                <w:szCs w:val="20"/>
                <w:color w:val="auto"/>
              </w:rPr>
            </w:pPr>
            <w:r>
              <w:rPr>
                <w:rFonts w:ascii="Times New Roman" w:cs="Times New Roman" w:eastAsia="Times New Roman" w:hAnsi="Times New Roman"/>
                <w:sz w:val="18"/>
                <w:szCs w:val="18"/>
                <w:color w:val="auto"/>
              </w:rPr>
              <w:t>June 30, 2024</w:t>
            </w:r>
          </w:p>
        </w:tc>
        <w:tc>
          <w:tcPr>
            <w:tcW w:w="1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87,539</w:t>
            </w:r>
          </w:p>
        </w:tc>
        <w:tc>
          <w:tcPr>
            <w:tcW w:w="2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1,287</w:t>
            </w:r>
          </w:p>
        </w:tc>
        <w:tc>
          <w:tcPr>
            <w:tcW w:w="30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5.88</w:t>
            </w:r>
          </w:p>
        </w:tc>
        <w:tc>
          <w:tcPr>
            <w:tcW w:w="14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12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18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64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83,737</w:t>
            </w:r>
          </w:p>
        </w:tc>
        <w:tc>
          <w:tcPr>
            <w:tcW w:w="40" w:type="dxa"/>
            <w:vAlign w:val="bottom"/>
            <w:tcBorders>
              <w:bottom w:val="single" w:sz="8" w:color="DDDDDD"/>
            </w:tcBorders>
            <w:shd w:val="clear" w:color="auto" w:fill="DDDDDD"/>
          </w:tcPr>
          <w:p>
            <w:pPr>
              <w:spacing w:after="0"/>
              <w:rPr>
                <w:sz w:val="16"/>
                <w:szCs w:val="16"/>
                <w:color w:val="auto"/>
              </w:rPr>
            </w:pPr>
          </w:p>
        </w:tc>
        <w:tc>
          <w:tcPr>
            <w:tcW w:w="140" w:type="dxa"/>
            <w:vAlign w:val="bottom"/>
            <w:tcBorders>
              <w:bottom w:val="single" w:sz="8" w:color="DDDDDD"/>
            </w:tcBorders>
            <w:shd w:val="clear" w:color="auto" w:fill="DDDDDD"/>
          </w:tcPr>
          <w:p>
            <w:pPr>
              <w:spacing w:after="0"/>
              <w:rPr>
                <w:sz w:val="16"/>
                <w:szCs w:val="16"/>
                <w:color w:val="auto"/>
              </w:rPr>
            </w:pPr>
          </w:p>
        </w:tc>
        <w:tc>
          <w:tcPr>
            <w:tcW w:w="110" w:type="dxa"/>
            <w:vAlign w:val="bottom"/>
            <w:tcBorders>
              <w:bottom w:val="single" w:sz="8" w:color="DDDDDD"/>
            </w:tcBorders>
            <w:shd w:val="clear" w:color="auto" w:fill="DDDDDD"/>
          </w:tcPr>
          <w:p>
            <w:pPr>
              <w:spacing w:after="0"/>
              <w:rPr>
                <w:sz w:val="16"/>
                <w:szCs w:val="16"/>
                <w:color w:val="auto"/>
              </w:rPr>
            </w:pPr>
          </w:p>
        </w:tc>
        <w:tc>
          <w:tcPr>
            <w:tcW w:w="30" w:type="dxa"/>
            <w:vAlign w:val="bottom"/>
            <w:tcBorders>
              <w:bottom w:val="single" w:sz="8" w:color="DDDDDD"/>
            </w:tcBorders>
            <w:shd w:val="clear" w:color="auto" w:fill="DDDDDD"/>
          </w:tcPr>
          <w:p>
            <w:pPr>
              <w:spacing w:after="0"/>
              <w:rPr>
                <w:sz w:val="16"/>
                <w:szCs w:val="16"/>
                <w:color w:val="auto"/>
              </w:rPr>
            </w:pPr>
          </w:p>
        </w:tc>
        <w:tc>
          <w:tcPr>
            <w:tcW w:w="720" w:type="dxa"/>
            <w:vAlign w:val="bottom"/>
            <w:tcBorders>
              <w:bottom w:val="single" w:sz="8" w:color="DDDDDD"/>
            </w:tcBorders>
            <w:gridSpan w:val="2"/>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1,157</w:t>
            </w:r>
          </w:p>
        </w:tc>
        <w:tc>
          <w:tcPr>
            <w:tcW w:w="18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280" w:type="dxa"/>
            <w:vAlign w:val="bottom"/>
            <w:tcBorders>
              <w:bottom w:val="single" w:sz="8" w:color="DDDDDD"/>
            </w:tcBorders>
            <w:shd w:val="clear" w:color="auto" w:fill="DDDDDD"/>
          </w:tcPr>
          <w:p>
            <w:pPr>
              <w:spacing w:after="0"/>
              <w:rPr>
                <w:sz w:val="16"/>
                <w:szCs w:val="16"/>
                <w:color w:val="auto"/>
              </w:rPr>
            </w:pPr>
          </w:p>
        </w:tc>
        <w:tc>
          <w:tcPr>
            <w:tcW w:w="460" w:type="dxa"/>
            <w:vAlign w:val="bottom"/>
            <w:tcBorders>
              <w:bottom w:val="single" w:sz="8" w:color="DDDDDD"/>
            </w:tcBorders>
            <w:gridSpan w:val="3"/>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1,113</w:t>
            </w:r>
          </w:p>
        </w:tc>
        <w:tc>
          <w:tcPr>
            <w:tcW w:w="20" w:type="dxa"/>
            <w:vAlign w:val="bottom"/>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730" w:type="dxa"/>
            <w:vAlign w:val="bottom"/>
            <w:tcBorders>
              <w:bottom w:val="single" w:sz="8" w:color="DDDDDD"/>
            </w:tcBorders>
            <w:gridSpan w:val="2"/>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5.53</w:t>
            </w:r>
          </w:p>
        </w:tc>
        <w:tc>
          <w:tcPr>
            <w:tcW w:w="15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200" w:type="dxa"/>
            <w:vAlign w:val="bottom"/>
            <w:tcBorders>
              <w:bottom w:val="single" w:sz="8" w:color="DDDDDD"/>
            </w:tcBorders>
            <w:shd w:val="clear" w:color="auto" w:fill="DDDDDD"/>
          </w:tcPr>
          <w:p>
            <w:pPr>
              <w:spacing w:after="0"/>
              <w:rPr>
                <w:sz w:val="16"/>
                <w:szCs w:val="16"/>
                <w:color w:val="auto"/>
              </w:rPr>
            </w:pPr>
          </w:p>
        </w:tc>
        <w:tc>
          <w:tcPr>
            <w:tcW w:w="75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5.32</w:t>
            </w:r>
          </w:p>
        </w:tc>
        <w:tc>
          <w:tcPr>
            <w:tcW w:w="15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highlight w:val="lightGray"/>
                <w:w w:val="79"/>
              </w:rPr>
              <w:t>%</w:t>
            </w:r>
          </w:p>
        </w:tc>
      </w:tr>
      <w:tr>
        <w:trPr>
          <w:trHeight w:val="229"/>
        </w:trPr>
        <w:tc>
          <w:tcPr>
            <w:tcW w:w="2140" w:type="dxa"/>
            <w:vAlign w:val="bottom"/>
            <w:tcBorders>
              <w:bottom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March 31, 2024</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90,697</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1,394</w:t>
            </w:r>
          </w:p>
        </w:tc>
        <w:tc>
          <w:tcPr>
            <w:tcW w:w="1040" w:type="dxa"/>
            <w:vAlign w:val="bottom"/>
            <w:tcBorders>
              <w:bottom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6.15</w:t>
            </w:r>
          </w:p>
        </w:tc>
        <w:tc>
          <w:tcPr>
            <w:tcW w:w="1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85,753</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 w:type="dxa"/>
            <w:vAlign w:val="bottom"/>
            <w:tcBorders>
              <w:bottom w:val="single" w:sz="8" w:color="auto"/>
            </w:tcBorders>
          </w:tcPr>
          <w:p>
            <w:pPr>
              <w:spacing w:after="0"/>
              <w:rPr>
                <w:sz w:val="19"/>
                <w:szCs w:val="19"/>
                <w:color w:val="auto"/>
              </w:rPr>
            </w:pPr>
          </w:p>
        </w:tc>
        <w:tc>
          <w:tcPr>
            <w:tcW w:w="3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1,208</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auto"/>
              </w:rPr>
              <w:t>1,187</w:t>
            </w:r>
          </w:p>
        </w:tc>
        <w:tc>
          <w:tcPr>
            <w:tcW w:w="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6"/>
          </w:tcPr>
          <w:p>
            <w:pPr>
              <w:jc w:val="right"/>
              <w:spacing w:after="0" w:line="205" w:lineRule="exact"/>
              <w:rPr>
                <w:sz w:val="20"/>
                <w:szCs w:val="20"/>
                <w:color w:val="auto"/>
              </w:rPr>
            </w:pPr>
            <w:r>
              <w:rPr>
                <w:rFonts w:ascii="Times New Roman" w:cs="Times New Roman" w:eastAsia="Times New Roman" w:hAnsi="Times New Roman"/>
                <w:sz w:val="18"/>
                <w:szCs w:val="18"/>
                <w:color w:val="auto"/>
              </w:rPr>
              <w:t>5.63 %</w:t>
            </w:r>
          </w:p>
        </w:tc>
        <w:tc>
          <w:tcPr>
            <w:tcW w:w="1100" w:type="dxa"/>
            <w:vAlign w:val="bottom"/>
            <w:tcBorders>
              <w:bottom w:val="single" w:sz="8" w:color="auto"/>
            </w:tcBorders>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auto"/>
              </w:rPr>
              <w:t>5.54 %</w:t>
            </w:r>
          </w:p>
        </w:tc>
      </w:tr>
      <w:tr>
        <w:trPr>
          <w:trHeight w:val="185"/>
        </w:trPr>
        <w:tc>
          <w:tcPr>
            <w:tcW w:w="2140" w:type="dxa"/>
            <w:vAlign w:val="bottom"/>
            <w:tcBorders>
              <w:top w:val="single" w:sz="8" w:color="DDDDDD"/>
              <w:bottom w:val="single" w:sz="8" w:color="auto"/>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Years Ended</w:t>
            </w:r>
          </w:p>
        </w:tc>
        <w:tc>
          <w:tcPr>
            <w:tcW w:w="120" w:type="dxa"/>
            <w:vAlign w:val="bottom"/>
            <w:tcBorders>
              <w:top w:val="single" w:sz="8" w:color="DDDDDD"/>
              <w:bottom w:val="single" w:sz="8" w:color="auto"/>
            </w:tcBorders>
            <w:shd w:val="clear" w:color="auto" w:fill="DDDDDD"/>
          </w:tcPr>
          <w:p>
            <w:pPr>
              <w:spacing w:after="0"/>
              <w:rPr>
                <w:sz w:val="16"/>
                <w:szCs w:val="16"/>
                <w:color w:val="auto"/>
              </w:rPr>
            </w:pPr>
          </w:p>
        </w:tc>
        <w:tc>
          <w:tcPr>
            <w:tcW w:w="80" w:type="dxa"/>
            <w:vAlign w:val="bottom"/>
            <w:tcBorders>
              <w:top w:val="single" w:sz="8" w:color="DDDDDD"/>
              <w:bottom w:val="single" w:sz="8" w:color="auto"/>
            </w:tcBorders>
            <w:shd w:val="clear" w:color="auto" w:fill="DDDDDD"/>
          </w:tcPr>
          <w:p>
            <w:pPr>
              <w:spacing w:after="0"/>
              <w:rPr>
                <w:sz w:val="16"/>
                <w:szCs w:val="16"/>
                <w:color w:val="auto"/>
              </w:rPr>
            </w:pPr>
          </w:p>
        </w:tc>
        <w:tc>
          <w:tcPr>
            <w:tcW w:w="740" w:type="dxa"/>
            <w:vAlign w:val="bottom"/>
            <w:tcBorders>
              <w:top w:val="single" w:sz="8" w:color="DDDDDD"/>
              <w:bottom w:val="single" w:sz="8" w:color="auto"/>
            </w:tcBorders>
            <w:shd w:val="clear" w:color="auto" w:fill="DDDDDD"/>
          </w:tcPr>
          <w:p>
            <w:pPr>
              <w:spacing w:after="0"/>
              <w:rPr>
                <w:sz w:val="16"/>
                <w:szCs w:val="16"/>
                <w:color w:val="auto"/>
              </w:rPr>
            </w:pPr>
          </w:p>
        </w:tc>
        <w:tc>
          <w:tcPr>
            <w:tcW w:w="20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740" w:type="dxa"/>
            <w:vAlign w:val="bottom"/>
            <w:tcBorders>
              <w:top w:val="single" w:sz="8" w:color="DDDDDD"/>
              <w:bottom w:val="single" w:sz="8" w:color="auto"/>
            </w:tcBorders>
            <w:shd w:val="clear" w:color="auto" w:fill="DDDDDD"/>
          </w:tcPr>
          <w:p>
            <w:pPr>
              <w:spacing w:after="0"/>
              <w:rPr>
                <w:sz w:val="16"/>
                <w:szCs w:val="16"/>
                <w:color w:val="auto"/>
              </w:rPr>
            </w:pPr>
          </w:p>
        </w:tc>
        <w:tc>
          <w:tcPr>
            <w:tcW w:w="300" w:type="dxa"/>
            <w:vAlign w:val="bottom"/>
            <w:tcBorders>
              <w:top w:val="single" w:sz="8" w:color="DDDDDD"/>
              <w:bottom w:val="single" w:sz="8" w:color="auto"/>
            </w:tcBorders>
            <w:shd w:val="clear" w:color="auto" w:fill="DDDDDD"/>
          </w:tcPr>
          <w:p>
            <w:pPr>
              <w:spacing w:after="0"/>
              <w:rPr>
                <w:sz w:val="16"/>
                <w:szCs w:val="16"/>
                <w:color w:val="auto"/>
              </w:rPr>
            </w:pPr>
          </w:p>
        </w:tc>
        <w:tc>
          <w:tcPr>
            <w:tcW w:w="740" w:type="dxa"/>
            <w:vAlign w:val="bottom"/>
            <w:tcBorders>
              <w:top w:val="single" w:sz="8" w:color="DDDDDD"/>
              <w:bottom w:val="single" w:sz="8" w:color="auto"/>
            </w:tcBorders>
            <w:shd w:val="clear" w:color="auto" w:fill="DDDDDD"/>
          </w:tcPr>
          <w:p>
            <w:pPr>
              <w:spacing w:after="0"/>
              <w:rPr>
                <w:sz w:val="16"/>
                <w:szCs w:val="16"/>
                <w:color w:val="auto"/>
              </w:rPr>
            </w:pPr>
          </w:p>
        </w:tc>
        <w:tc>
          <w:tcPr>
            <w:tcW w:w="140" w:type="dxa"/>
            <w:vAlign w:val="bottom"/>
            <w:tcBorders>
              <w:top w:val="single" w:sz="8" w:color="DDDDDD"/>
              <w:bottom w:val="single" w:sz="8" w:color="auto"/>
            </w:tcBorders>
            <w:shd w:val="clear" w:color="auto" w:fill="DDDDDD"/>
          </w:tcPr>
          <w:p>
            <w:pPr>
              <w:spacing w:after="0"/>
              <w:rPr>
                <w:sz w:val="16"/>
                <w:szCs w:val="16"/>
                <w:color w:val="auto"/>
              </w:rPr>
            </w:pPr>
          </w:p>
        </w:tc>
        <w:tc>
          <w:tcPr>
            <w:tcW w:w="120" w:type="dxa"/>
            <w:vAlign w:val="bottom"/>
            <w:tcBorders>
              <w:top w:val="single" w:sz="8" w:color="DDDDDD"/>
              <w:bottom w:val="single" w:sz="8" w:color="auto"/>
            </w:tcBorders>
            <w:shd w:val="clear" w:color="auto" w:fill="DDDDDD"/>
          </w:tcPr>
          <w:p>
            <w:pPr>
              <w:spacing w:after="0"/>
              <w:rPr>
                <w:sz w:val="16"/>
                <w:szCs w:val="16"/>
                <w:color w:val="auto"/>
              </w:rPr>
            </w:pPr>
          </w:p>
        </w:tc>
        <w:tc>
          <w:tcPr>
            <w:tcW w:w="120" w:type="dxa"/>
            <w:vAlign w:val="bottom"/>
            <w:tcBorders>
              <w:top w:val="single" w:sz="8" w:color="DDDDDD"/>
              <w:bottom w:val="single" w:sz="8" w:color="auto"/>
            </w:tcBorders>
            <w:shd w:val="clear" w:color="auto" w:fill="DDDDDD"/>
          </w:tcPr>
          <w:p>
            <w:pPr>
              <w:spacing w:after="0"/>
              <w:rPr>
                <w:sz w:val="16"/>
                <w:szCs w:val="16"/>
                <w:color w:val="auto"/>
              </w:rPr>
            </w:pPr>
          </w:p>
        </w:tc>
        <w:tc>
          <w:tcPr>
            <w:tcW w:w="18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640" w:type="dxa"/>
            <w:vAlign w:val="bottom"/>
            <w:tcBorders>
              <w:top w:val="single" w:sz="8" w:color="DDDDDD"/>
              <w:bottom w:val="single" w:sz="8" w:color="auto"/>
            </w:tcBorders>
            <w:shd w:val="clear" w:color="auto" w:fill="DDDDDD"/>
          </w:tcPr>
          <w:p>
            <w:pPr>
              <w:spacing w:after="0"/>
              <w:rPr>
                <w:sz w:val="16"/>
                <w:szCs w:val="16"/>
                <w:color w:val="auto"/>
              </w:rPr>
            </w:pPr>
          </w:p>
        </w:tc>
        <w:tc>
          <w:tcPr>
            <w:tcW w:w="40" w:type="dxa"/>
            <w:vAlign w:val="bottom"/>
            <w:tcBorders>
              <w:top w:val="single" w:sz="8" w:color="DDDDDD"/>
              <w:bottom w:val="single" w:sz="8" w:color="auto"/>
            </w:tcBorders>
            <w:shd w:val="clear" w:color="auto" w:fill="DDDDDD"/>
          </w:tcPr>
          <w:p>
            <w:pPr>
              <w:spacing w:after="0"/>
              <w:rPr>
                <w:sz w:val="16"/>
                <w:szCs w:val="16"/>
                <w:color w:val="auto"/>
              </w:rPr>
            </w:pPr>
          </w:p>
        </w:tc>
        <w:tc>
          <w:tcPr>
            <w:tcW w:w="140" w:type="dxa"/>
            <w:vAlign w:val="bottom"/>
            <w:tcBorders>
              <w:top w:val="single" w:sz="8" w:color="DDDDDD"/>
              <w:bottom w:val="single" w:sz="8" w:color="auto"/>
            </w:tcBorders>
            <w:shd w:val="clear" w:color="auto" w:fill="DDDDDD"/>
          </w:tcPr>
          <w:p>
            <w:pPr>
              <w:spacing w:after="0"/>
              <w:rPr>
                <w:sz w:val="16"/>
                <w:szCs w:val="16"/>
                <w:color w:val="auto"/>
              </w:rPr>
            </w:pPr>
          </w:p>
        </w:tc>
        <w:tc>
          <w:tcPr>
            <w:tcW w:w="110" w:type="dxa"/>
            <w:vAlign w:val="bottom"/>
            <w:tcBorders>
              <w:top w:val="single" w:sz="8" w:color="DDDDDD"/>
              <w:bottom w:val="single" w:sz="8" w:color="auto"/>
            </w:tcBorders>
            <w:shd w:val="clear" w:color="auto" w:fill="DDDDDD"/>
          </w:tcPr>
          <w:p>
            <w:pPr>
              <w:spacing w:after="0"/>
              <w:rPr>
                <w:sz w:val="16"/>
                <w:szCs w:val="16"/>
                <w:color w:val="auto"/>
              </w:rPr>
            </w:pPr>
          </w:p>
        </w:tc>
        <w:tc>
          <w:tcPr>
            <w:tcW w:w="30" w:type="dxa"/>
            <w:vAlign w:val="bottom"/>
            <w:tcBorders>
              <w:top w:val="single" w:sz="8" w:color="DDDDDD"/>
              <w:bottom w:val="single" w:sz="8" w:color="auto"/>
            </w:tcBorders>
            <w:shd w:val="clear" w:color="auto" w:fill="DDDDDD"/>
          </w:tcPr>
          <w:p>
            <w:pPr>
              <w:spacing w:after="0"/>
              <w:rPr>
                <w:sz w:val="16"/>
                <w:szCs w:val="16"/>
                <w:color w:val="auto"/>
              </w:rPr>
            </w:pPr>
          </w:p>
        </w:tc>
        <w:tc>
          <w:tcPr>
            <w:tcW w:w="300" w:type="dxa"/>
            <w:vAlign w:val="bottom"/>
            <w:tcBorders>
              <w:top w:val="single" w:sz="8" w:color="DDDDDD"/>
              <w:bottom w:val="single" w:sz="8" w:color="auto"/>
            </w:tcBorders>
            <w:shd w:val="clear" w:color="auto" w:fill="DDDDDD"/>
          </w:tcPr>
          <w:p>
            <w:pPr>
              <w:spacing w:after="0"/>
              <w:rPr>
                <w:sz w:val="16"/>
                <w:szCs w:val="16"/>
                <w:color w:val="auto"/>
              </w:rPr>
            </w:pPr>
          </w:p>
        </w:tc>
        <w:tc>
          <w:tcPr>
            <w:tcW w:w="420" w:type="dxa"/>
            <w:vAlign w:val="bottom"/>
            <w:tcBorders>
              <w:top w:val="single" w:sz="8" w:color="DDDDDD"/>
              <w:bottom w:val="single" w:sz="8" w:color="auto"/>
            </w:tcBorders>
            <w:shd w:val="clear" w:color="auto" w:fill="DDDDDD"/>
          </w:tcPr>
          <w:p>
            <w:pPr>
              <w:spacing w:after="0"/>
              <w:rPr>
                <w:sz w:val="16"/>
                <w:szCs w:val="16"/>
                <w:color w:val="auto"/>
              </w:rPr>
            </w:pPr>
          </w:p>
        </w:tc>
        <w:tc>
          <w:tcPr>
            <w:tcW w:w="18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28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260" w:type="dxa"/>
            <w:vAlign w:val="bottom"/>
            <w:tcBorders>
              <w:top w:val="single" w:sz="8" w:color="DDDDDD"/>
              <w:bottom w:val="single" w:sz="8" w:color="auto"/>
            </w:tcBorders>
            <w:shd w:val="clear" w:color="auto" w:fill="DDDDDD"/>
          </w:tcPr>
          <w:p>
            <w:pPr>
              <w:spacing w:after="0"/>
              <w:rPr>
                <w:sz w:val="16"/>
                <w:szCs w:val="16"/>
                <w:color w:val="auto"/>
              </w:rPr>
            </w:pPr>
          </w:p>
        </w:tc>
        <w:tc>
          <w:tcPr>
            <w:tcW w:w="20" w:type="dxa"/>
            <w:vAlign w:val="bottom"/>
            <w:tcBorders>
              <w:top w:val="single" w:sz="8" w:color="DDDDDD"/>
              <w:bottom w:val="single" w:sz="8" w:color="auto"/>
            </w:tcBorders>
          </w:tcPr>
          <w:p>
            <w:pPr>
              <w:spacing w:after="0"/>
              <w:rPr>
                <w:sz w:val="16"/>
                <w:szCs w:val="16"/>
                <w:color w:val="auto"/>
              </w:rPr>
            </w:pPr>
          </w:p>
        </w:tc>
        <w:tc>
          <w:tcPr>
            <w:tcW w:w="80" w:type="dxa"/>
            <w:vAlign w:val="bottom"/>
            <w:tcBorders>
              <w:top w:val="single" w:sz="8" w:color="DDDDDD"/>
              <w:bottom w:val="single" w:sz="8" w:color="auto"/>
            </w:tcBorders>
            <w:shd w:val="clear" w:color="auto" w:fill="DDDDDD"/>
          </w:tcPr>
          <w:p>
            <w:pPr>
              <w:spacing w:after="0"/>
              <w:rPr>
                <w:sz w:val="16"/>
                <w:szCs w:val="16"/>
                <w:color w:val="auto"/>
              </w:rPr>
            </w:pPr>
          </w:p>
        </w:tc>
        <w:tc>
          <w:tcPr>
            <w:tcW w:w="80" w:type="dxa"/>
            <w:vAlign w:val="bottom"/>
            <w:tcBorders>
              <w:top w:val="single" w:sz="8" w:color="DDDDDD"/>
              <w:bottom w:val="single" w:sz="8" w:color="auto"/>
            </w:tcBorders>
            <w:shd w:val="clear" w:color="auto" w:fill="DDDDDD"/>
          </w:tcPr>
          <w:p>
            <w:pPr>
              <w:spacing w:after="0"/>
              <w:rPr>
                <w:sz w:val="16"/>
                <w:szCs w:val="16"/>
                <w:color w:val="auto"/>
              </w:rPr>
            </w:pPr>
          </w:p>
        </w:tc>
        <w:tc>
          <w:tcPr>
            <w:tcW w:w="120" w:type="dxa"/>
            <w:vAlign w:val="bottom"/>
            <w:tcBorders>
              <w:top w:val="single" w:sz="8" w:color="DDDDDD"/>
              <w:bottom w:val="single" w:sz="8" w:color="auto"/>
            </w:tcBorders>
            <w:shd w:val="clear" w:color="auto" w:fill="DDDDDD"/>
          </w:tcPr>
          <w:p>
            <w:pPr>
              <w:spacing w:after="0"/>
              <w:rPr>
                <w:sz w:val="16"/>
                <w:szCs w:val="16"/>
                <w:color w:val="auto"/>
              </w:rPr>
            </w:pPr>
          </w:p>
        </w:tc>
        <w:tc>
          <w:tcPr>
            <w:tcW w:w="500" w:type="dxa"/>
            <w:vAlign w:val="bottom"/>
            <w:tcBorders>
              <w:top w:val="single" w:sz="8" w:color="DDDDDD"/>
              <w:bottom w:val="single" w:sz="8" w:color="auto"/>
            </w:tcBorders>
            <w:shd w:val="clear" w:color="auto" w:fill="DDDDDD"/>
          </w:tcPr>
          <w:p>
            <w:pPr>
              <w:spacing w:after="0"/>
              <w:rPr>
                <w:sz w:val="16"/>
                <w:szCs w:val="16"/>
                <w:color w:val="auto"/>
              </w:rPr>
            </w:pPr>
          </w:p>
        </w:tc>
        <w:tc>
          <w:tcPr>
            <w:tcW w:w="230" w:type="dxa"/>
            <w:vAlign w:val="bottom"/>
            <w:tcBorders>
              <w:top w:val="single" w:sz="8" w:color="DDDDDD"/>
              <w:bottom w:val="single" w:sz="8" w:color="auto"/>
            </w:tcBorders>
            <w:shd w:val="clear" w:color="auto" w:fill="DDDDDD"/>
          </w:tcPr>
          <w:p>
            <w:pPr>
              <w:spacing w:after="0"/>
              <w:rPr>
                <w:sz w:val="16"/>
                <w:szCs w:val="16"/>
                <w:color w:val="auto"/>
              </w:rPr>
            </w:pPr>
          </w:p>
        </w:tc>
        <w:tc>
          <w:tcPr>
            <w:tcW w:w="150" w:type="dxa"/>
            <w:vAlign w:val="bottom"/>
            <w:tcBorders>
              <w:top w:val="single" w:sz="8" w:color="DDDDDD"/>
              <w:bottom w:val="single" w:sz="8" w:color="auto"/>
            </w:tcBorders>
            <w:shd w:val="clear" w:color="auto" w:fill="DDDDDD"/>
          </w:tcPr>
          <w:p>
            <w:pPr>
              <w:spacing w:after="0"/>
              <w:rPr>
                <w:sz w:val="16"/>
                <w:szCs w:val="16"/>
                <w:color w:val="auto"/>
              </w:rPr>
            </w:pPr>
          </w:p>
        </w:tc>
        <w:tc>
          <w:tcPr>
            <w:tcW w:w="200" w:type="dxa"/>
            <w:vAlign w:val="bottom"/>
            <w:tcBorders>
              <w:top w:val="single" w:sz="8" w:color="DDDDDD"/>
              <w:bottom w:val="single" w:sz="8" w:color="auto"/>
            </w:tcBorders>
            <w:shd w:val="clear" w:color="auto" w:fill="DDDDDD"/>
          </w:tcPr>
          <w:p>
            <w:pPr>
              <w:spacing w:after="0"/>
              <w:rPr>
                <w:sz w:val="16"/>
                <w:szCs w:val="16"/>
                <w:color w:val="auto"/>
              </w:rPr>
            </w:pPr>
          </w:p>
        </w:tc>
        <w:tc>
          <w:tcPr>
            <w:tcW w:w="750" w:type="dxa"/>
            <w:vAlign w:val="bottom"/>
            <w:tcBorders>
              <w:top w:val="single" w:sz="8" w:color="DDDDDD"/>
              <w:bottom w:val="single" w:sz="8" w:color="auto"/>
            </w:tcBorders>
            <w:shd w:val="clear" w:color="auto" w:fill="DDDDDD"/>
          </w:tcPr>
          <w:p>
            <w:pPr>
              <w:spacing w:after="0"/>
              <w:rPr>
                <w:sz w:val="16"/>
                <w:szCs w:val="16"/>
                <w:color w:val="auto"/>
              </w:rPr>
            </w:pPr>
          </w:p>
        </w:tc>
        <w:tc>
          <w:tcPr>
            <w:tcW w:w="150" w:type="dxa"/>
            <w:vAlign w:val="bottom"/>
            <w:tcBorders>
              <w:top w:val="single" w:sz="8" w:color="DDDDDD"/>
              <w:bottom w:val="single" w:sz="8" w:color="auto"/>
            </w:tcBorders>
            <w:shd w:val="clear" w:color="auto" w:fill="DDDDDD"/>
          </w:tcPr>
          <w:p>
            <w:pPr>
              <w:spacing w:after="0"/>
              <w:rPr>
                <w:sz w:val="16"/>
                <w:szCs w:val="16"/>
                <w:color w:val="auto"/>
              </w:rPr>
            </w:pPr>
          </w:p>
        </w:tc>
      </w:tr>
      <w:tr>
        <w:trPr>
          <w:trHeight w:val="212"/>
        </w:trPr>
        <w:tc>
          <w:tcPr>
            <w:tcW w:w="214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20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109,659</w:t>
            </w:r>
          </w:p>
        </w:tc>
        <w:tc>
          <w:tcPr>
            <w:tcW w:w="30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6,309</w:t>
            </w:r>
          </w:p>
        </w:tc>
        <w:tc>
          <w:tcPr>
            <w:tcW w:w="104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4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4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DDDDDD"/>
            </w:tcBorders>
          </w:tcPr>
          <w:p>
            <w:pPr>
              <w:spacing w:after="0"/>
              <w:rPr>
                <w:sz w:val="18"/>
                <w:szCs w:val="18"/>
                <w:color w:val="auto"/>
              </w:rPr>
            </w:pPr>
          </w:p>
        </w:tc>
        <w:tc>
          <w:tcPr>
            <w:tcW w:w="100" w:type="dxa"/>
            <w:vAlign w:val="bottom"/>
            <w:tcBorders>
              <w:bottom w:val="single" w:sz="8" w:color="DDDDDD"/>
            </w:tcBorders>
          </w:tcPr>
          <w:p>
            <w:pPr>
              <w:spacing w:after="0"/>
              <w:rPr>
                <w:sz w:val="18"/>
                <w:szCs w:val="18"/>
                <w:color w:val="auto"/>
              </w:rPr>
            </w:pPr>
          </w:p>
        </w:tc>
        <w:tc>
          <w:tcPr>
            <w:tcW w:w="64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104,615</w:t>
            </w:r>
          </w:p>
        </w:tc>
        <w:tc>
          <w:tcPr>
            <w:tcW w:w="40" w:type="dxa"/>
            <w:vAlign w:val="bottom"/>
            <w:tcBorders>
              <w:bottom w:val="single" w:sz="8" w:color="DDDDDD"/>
            </w:tcBorders>
          </w:tcPr>
          <w:p>
            <w:pPr>
              <w:spacing w:after="0"/>
              <w:rPr>
                <w:sz w:val="18"/>
                <w:szCs w:val="18"/>
                <w:color w:val="auto"/>
              </w:rPr>
            </w:pPr>
          </w:p>
        </w:tc>
        <w:tc>
          <w:tcPr>
            <w:tcW w:w="25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 w:type="dxa"/>
            <w:vAlign w:val="bottom"/>
            <w:tcBorders>
              <w:bottom w:val="single" w:sz="8" w:color="DDDDDD"/>
            </w:tcBorders>
          </w:tcPr>
          <w:p>
            <w:pPr>
              <w:spacing w:after="0"/>
              <w:rPr>
                <w:sz w:val="18"/>
                <w:szCs w:val="18"/>
                <w:color w:val="auto"/>
              </w:rPr>
            </w:pPr>
          </w:p>
        </w:tc>
        <w:tc>
          <w:tcPr>
            <w:tcW w:w="72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28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DDDDDD"/>
            </w:tcBorders>
          </w:tcPr>
          <w:p>
            <w:pPr>
              <w:spacing w:after="0"/>
              <w:rPr>
                <w:sz w:val="18"/>
                <w:szCs w:val="18"/>
                <w:color w:val="auto"/>
              </w:rPr>
            </w:pPr>
          </w:p>
        </w:tc>
        <w:tc>
          <w:tcPr>
            <w:tcW w:w="460" w:type="dxa"/>
            <w:vAlign w:val="bottom"/>
            <w:tcBorders>
              <w:bottom w:val="single" w:sz="8" w:color="DDDDDD"/>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20" w:type="dxa"/>
            <w:vAlign w:val="bottom"/>
            <w:tcBorders>
              <w:bottom w:val="single" w:sz="8" w:color="DDDDDD"/>
            </w:tcBorders>
          </w:tcPr>
          <w:p>
            <w:pPr>
              <w:spacing w:after="0"/>
              <w:rPr>
                <w:sz w:val="18"/>
                <w:szCs w:val="18"/>
                <w:color w:val="auto"/>
              </w:rPr>
            </w:pPr>
          </w:p>
        </w:tc>
        <w:tc>
          <w:tcPr>
            <w:tcW w:w="1160" w:type="dxa"/>
            <w:vAlign w:val="bottom"/>
            <w:tcBorders>
              <w:bottom w:val="single" w:sz="8" w:color="DDDDDD"/>
            </w:tcBorders>
            <w:gridSpan w:val="6"/>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1100" w:type="dxa"/>
            <w:vAlign w:val="bottom"/>
            <w:tcBorders>
              <w:bottom w:val="single" w:sz="8" w:color="DDDDDD"/>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4.06 %</w:t>
            </w:r>
          </w:p>
        </w:tc>
      </w:tr>
      <w:tr>
        <w:trPr>
          <w:trHeight w:val="192"/>
        </w:trPr>
        <w:tc>
          <w:tcPr>
            <w:tcW w:w="214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100,262</w:t>
            </w:r>
          </w:p>
        </w:tc>
        <w:tc>
          <w:tcPr>
            <w:tcW w:w="2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5,839</w:t>
            </w:r>
          </w:p>
        </w:tc>
        <w:tc>
          <w:tcPr>
            <w:tcW w:w="30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5.82</w:t>
            </w:r>
          </w:p>
        </w:tc>
        <w:tc>
          <w:tcPr>
            <w:tcW w:w="1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12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18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6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95,635</w:t>
            </w:r>
          </w:p>
        </w:tc>
        <w:tc>
          <w:tcPr>
            <w:tcW w:w="40" w:type="dxa"/>
            <w:vAlign w:val="bottom"/>
            <w:tcBorders>
              <w:bottom w:val="single" w:sz="8" w:color="DDDDDD"/>
            </w:tcBorders>
            <w:shd w:val="clear" w:color="auto" w:fill="DDDDDD"/>
          </w:tcPr>
          <w:p>
            <w:pPr>
              <w:spacing w:after="0"/>
              <w:rPr>
                <w:sz w:val="16"/>
                <w:szCs w:val="16"/>
                <w:color w:val="auto"/>
              </w:rPr>
            </w:pPr>
          </w:p>
        </w:tc>
        <w:tc>
          <w:tcPr>
            <w:tcW w:w="140" w:type="dxa"/>
            <w:vAlign w:val="bottom"/>
            <w:tcBorders>
              <w:bottom w:val="single" w:sz="8" w:color="DDDDDD"/>
            </w:tcBorders>
            <w:shd w:val="clear" w:color="auto" w:fill="DDDDDD"/>
          </w:tcPr>
          <w:p>
            <w:pPr>
              <w:spacing w:after="0"/>
              <w:rPr>
                <w:sz w:val="16"/>
                <w:szCs w:val="16"/>
                <w:color w:val="auto"/>
              </w:rPr>
            </w:pPr>
          </w:p>
        </w:tc>
        <w:tc>
          <w:tcPr>
            <w:tcW w:w="110" w:type="dxa"/>
            <w:vAlign w:val="bottom"/>
            <w:tcBorders>
              <w:bottom w:val="single" w:sz="8" w:color="DDDDDD"/>
            </w:tcBorders>
            <w:shd w:val="clear" w:color="auto" w:fill="DDDDDD"/>
          </w:tcPr>
          <w:p>
            <w:pPr>
              <w:spacing w:after="0"/>
              <w:rPr>
                <w:sz w:val="16"/>
                <w:szCs w:val="16"/>
                <w:color w:val="auto"/>
              </w:rPr>
            </w:pPr>
          </w:p>
        </w:tc>
        <w:tc>
          <w:tcPr>
            <w:tcW w:w="30" w:type="dxa"/>
            <w:vAlign w:val="bottom"/>
            <w:tcBorders>
              <w:bottom w:val="single" w:sz="8" w:color="DDDDDD"/>
            </w:tcBorders>
            <w:shd w:val="clear" w:color="auto" w:fill="DDDDDD"/>
          </w:tcPr>
          <w:p>
            <w:pPr>
              <w:spacing w:after="0"/>
              <w:rPr>
                <w:sz w:val="16"/>
                <w:szCs w:val="16"/>
                <w:color w:val="auto"/>
              </w:rPr>
            </w:pPr>
          </w:p>
        </w:tc>
        <w:tc>
          <w:tcPr>
            <w:tcW w:w="720" w:type="dxa"/>
            <w:vAlign w:val="bottom"/>
            <w:tcBorders>
              <w:bottom w:val="single" w:sz="8" w:color="DDDDDD"/>
            </w:tcBorders>
            <w:gridSpan w:val="2"/>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5,140</w:t>
            </w:r>
          </w:p>
        </w:tc>
        <w:tc>
          <w:tcPr>
            <w:tcW w:w="18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280" w:type="dxa"/>
            <w:vAlign w:val="bottom"/>
            <w:tcBorders>
              <w:bottom w:val="single" w:sz="8" w:color="DDDDDD"/>
            </w:tcBorders>
            <w:shd w:val="clear" w:color="auto" w:fill="DDDDDD"/>
          </w:tcPr>
          <w:p>
            <w:pPr>
              <w:spacing w:after="0"/>
              <w:rPr>
                <w:sz w:val="16"/>
                <w:szCs w:val="16"/>
                <w:color w:val="auto"/>
              </w:rPr>
            </w:pPr>
          </w:p>
        </w:tc>
        <w:tc>
          <w:tcPr>
            <w:tcW w:w="460" w:type="dxa"/>
            <w:vAlign w:val="bottom"/>
            <w:tcBorders>
              <w:bottom w:val="single" w:sz="8" w:color="DDDDDD"/>
            </w:tcBorders>
            <w:gridSpan w:val="3"/>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5,110</w:t>
            </w:r>
          </w:p>
        </w:tc>
        <w:tc>
          <w:tcPr>
            <w:tcW w:w="20" w:type="dxa"/>
            <w:vAlign w:val="bottom"/>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730" w:type="dxa"/>
            <w:vAlign w:val="bottom"/>
            <w:tcBorders>
              <w:bottom w:val="single" w:sz="8" w:color="DDDDDD"/>
            </w:tcBorders>
            <w:gridSpan w:val="2"/>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5.37</w:t>
            </w:r>
          </w:p>
        </w:tc>
        <w:tc>
          <w:tcPr>
            <w:tcW w:w="1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200" w:type="dxa"/>
            <w:vAlign w:val="bottom"/>
            <w:tcBorders>
              <w:bottom w:val="single" w:sz="8" w:color="DDDDDD"/>
            </w:tcBorders>
            <w:shd w:val="clear" w:color="auto" w:fill="DDDDDD"/>
          </w:tcPr>
          <w:p>
            <w:pPr>
              <w:spacing w:after="0"/>
              <w:rPr>
                <w:sz w:val="16"/>
                <w:szCs w:val="16"/>
                <w:color w:val="auto"/>
              </w:rPr>
            </w:pPr>
          </w:p>
        </w:tc>
        <w:tc>
          <w:tcPr>
            <w:tcW w:w="7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5.34</w:t>
            </w:r>
          </w:p>
        </w:tc>
        <w:tc>
          <w:tcPr>
            <w:tcW w:w="1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r>
      <w:tr>
        <w:trPr>
          <w:trHeight w:val="435"/>
        </w:trPr>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 w:type="dxa"/>
            <w:vAlign w:val="bottom"/>
            <w:tcBorders>
              <w:bottom w:val="single" w:sz="8" w:color="auto"/>
            </w:tcBorders>
          </w:tcPr>
          <w:p>
            <w:pPr>
              <w:spacing w:after="0"/>
              <w:rPr>
                <w:sz w:val="24"/>
                <w:szCs w:val="24"/>
                <w:color w:val="auto"/>
              </w:rPr>
            </w:pPr>
          </w:p>
        </w:tc>
        <w:tc>
          <w:tcPr>
            <w:tcW w:w="3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30" w:type="dxa"/>
            <w:vAlign w:val="bottom"/>
            <w:tcBorders>
              <w:bottom w:val="single" w:sz="8" w:color="auto"/>
            </w:tcBorders>
          </w:tcPr>
          <w:p>
            <w:pPr>
              <w:spacing w:after="0"/>
              <w:rPr>
                <w:sz w:val="24"/>
                <w:szCs w:val="24"/>
                <w:color w:val="auto"/>
              </w:rPr>
            </w:pPr>
          </w:p>
        </w:tc>
        <w:tc>
          <w:tcPr>
            <w:tcW w:w="15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50" w:type="dxa"/>
            <w:vAlign w:val="bottom"/>
            <w:tcBorders>
              <w:bottom w:val="single" w:sz="8" w:color="auto"/>
            </w:tcBorders>
          </w:tcPr>
          <w:p>
            <w:pPr>
              <w:spacing w:after="0"/>
              <w:rPr>
                <w:sz w:val="24"/>
                <w:szCs w:val="24"/>
                <w:color w:val="auto"/>
              </w:rPr>
            </w:pPr>
          </w:p>
        </w:tc>
        <w:tc>
          <w:tcPr>
            <w:tcW w:w="150" w:type="dxa"/>
            <w:vAlign w:val="bottom"/>
            <w:tcBorders>
              <w:bottom w:val="single" w:sz="8" w:color="auto"/>
            </w:tcBorders>
          </w:tcPr>
          <w:p>
            <w:pPr>
              <w:spacing w:after="0"/>
              <w:rPr>
                <w:sz w:val="24"/>
                <w:szCs w:val="24"/>
                <w:color w:val="auto"/>
              </w:rPr>
            </w:pPr>
          </w:p>
        </w:tc>
      </w:tr>
      <w:tr>
        <w:trPr>
          <w:trHeight w:val="191"/>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7"/>
          </w:tcPr>
          <w:p>
            <w:pPr>
              <w:jc w:val="right"/>
              <w:ind w:right="30"/>
              <w:spacing w:after="0" w:line="191" w:lineRule="exact"/>
              <w:rPr>
                <w:sz w:val="20"/>
                <w:szCs w:val="20"/>
                <w:color w:val="auto"/>
              </w:rPr>
            </w:pPr>
            <w:r>
              <w:rPr>
                <w:rFonts w:ascii="Times New Roman" w:cs="Times New Roman" w:eastAsia="Times New Roman" w:hAnsi="Times New Roman"/>
                <w:sz w:val="18"/>
                <w:szCs w:val="18"/>
                <w:b w:val="1"/>
                <w:bCs w:val="1"/>
                <w:color w:val="auto"/>
              </w:rPr>
              <w:t>Net Portfolio</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6"/>
          </w:tcPr>
          <w:p>
            <w:pPr>
              <w:jc w:val="right"/>
              <w:ind w:right="770"/>
              <w:spacing w:after="0" w:line="191" w:lineRule="exact"/>
              <w:rPr>
                <w:sz w:val="20"/>
                <w:szCs w:val="20"/>
                <w:color w:val="auto"/>
              </w:rPr>
            </w:pPr>
            <w:r>
              <w:rPr>
                <w:rFonts w:ascii="Times New Roman" w:cs="Times New Roman" w:eastAsia="Times New Roman" w:hAnsi="Times New Roman"/>
                <w:sz w:val="18"/>
                <w:szCs w:val="18"/>
                <w:b w:val="1"/>
                <w:bCs w:val="1"/>
                <w:color w:val="auto"/>
              </w:rPr>
              <w:t>Net Portfolio</w:t>
            </w:r>
          </w:p>
        </w:tc>
      </w:tr>
      <w:tr>
        <w:trPr>
          <w:trHeight w:val="235"/>
        </w:trPr>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6"/>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Interest Spread</w:t>
            </w:r>
          </w:p>
        </w:tc>
      </w:tr>
      <w:tr>
        <w:trPr>
          <w:trHeight w:val="191"/>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center"/>
              <w:ind w:left="90"/>
              <w:spacing w:after="0" w:line="191" w:lineRule="exact"/>
              <w:rPr>
                <w:sz w:val="20"/>
                <w:szCs w:val="20"/>
                <w:color w:val="auto"/>
              </w:rPr>
            </w:pPr>
            <w:r>
              <w:rPr>
                <w:rFonts w:ascii="Times New Roman" w:cs="Times New Roman" w:eastAsia="Times New Roman" w:hAnsi="Times New Roman"/>
                <w:sz w:val="18"/>
                <w:szCs w:val="18"/>
                <w:b w:val="1"/>
                <w:bCs w:val="1"/>
                <w:color w:val="auto"/>
                <w:w w:val="97"/>
              </w:rPr>
              <w:t>GAAP</w:t>
            </w:r>
          </w:p>
        </w:tc>
        <w:tc>
          <w:tcPr>
            <w:tcW w:w="14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3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4"/>
          </w:tcPr>
          <w:p>
            <w:pPr>
              <w:jc w:val="right"/>
              <w:ind w:right="70"/>
              <w:spacing w:after="0" w:line="191" w:lineRule="exact"/>
              <w:rPr>
                <w:sz w:val="20"/>
                <w:szCs w:val="20"/>
                <w:color w:val="auto"/>
              </w:rPr>
            </w:pPr>
            <w:r>
              <w:rPr>
                <w:rFonts w:ascii="Times New Roman" w:cs="Times New Roman" w:eastAsia="Times New Roman" w:hAnsi="Times New Roman"/>
                <w:sz w:val="18"/>
                <w:szCs w:val="18"/>
                <w:b w:val="1"/>
                <w:bCs w:val="1"/>
                <w:color w:val="auto"/>
              </w:rPr>
              <w:t>Economic</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6"/>
          </w:tcPr>
          <w:p>
            <w:pPr>
              <w:jc w:val="right"/>
              <w:ind w:right="570"/>
              <w:spacing w:after="0" w:line="191" w:lineRule="exact"/>
              <w:rPr>
                <w:sz w:val="20"/>
                <w:szCs w:val="20"/>
                <w:color w:val="auto"/>
              </w:rPr>
            </w:pPr>
            <w:r>
              <w:rPr>
                <w:rFonts w:ascii="Times New Roman" w:cs="Times New Roman" w:eastAsia="Times New Roman" w:hAnsi="Times New Roman"/>
                <w:sz w:val="18"/>
                <w:szCs w:val="18"/>
                <w:b w:val="1"/>
                <w:bCs w:val="1"/>
                <w:color w:val="auto"/>
                <w:w w:val="94"/>
              </w:rPr>
              <w:t>GAAP</w:t>
            </w:r>
          </w:p>
        </w:tc>
        <w:tc>
          <w:tcPr>
            <w:tcW w:w="1100" w:type="dxa"/>
            <w:vAlign w:val="bottom"/>
            <w:gridSpan w:val="3"/>
          </w:tcPr>
          <w:p>
            <w:pPr>
              <w:jc w:val="right"/>
              <w:ind w:right="210"/>
              <w:spacing w:after="0" w:line="191" w:lineRule="exact"/>
              <w:rPr>
                <w:sz w:val="20"/>
                <w:szCs w:val="20"/>
                <w:color w:val="auto"/>
              </w:rPr>
            </w:pPr>
            <w:r>
              <w:rPr>
                <w:rFonts w:ascii="Times New Roman" w:cs="Times New Roman" w:eastAsia="Times New Roman" w:hAnsi="Times New Roman"/>
                <w:sz w:val="18"/>
                <w:szCs w:val="18"/>
                <w:b w:val="1"/>
                <w:bCs w:val="1"/>
                <w:color w:val="auto"/>
              </w:rPr>
              <w:t>Economic</w:t>
            </w:r>
          </w:p>
        </w:tc>
      </w:tr>
      <w:tr>
        <w:trPr>
          <w:trHeight w:val="236"/>
        </w:trPr>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Basis</w:t>
            </w:r>
          </w:p>
        </w:tc>
        <w:tc>
          <w:tcPr>
            <w:tcW w:w="140" w:type="dxa"/>
            <w:vAlign w:val="bottom"/>
            <w:tcBorders>
              <w:bottom w:val="single" w:sz="8" w:color="auto"/>
            </w:tcBorders>
          </w:tcPr>
          <w:p>
            <w:pPr>
              <w:spacing w:after="0"/>
              <w:rPr>
                <w:sz w:val="20"/>
                <w:szCs w:val="20"/>
                <w:color w:val="auto"/>
              </w:rPr>
            </w:pPr>
          </w:p>
        </w:tc>
        <w:tc>
          <w:tcPr>
            <w:tcW w:w="110" w:type="dxa"/>
            <w:vAlign w:val="bottom"/>
            <w:tcBorders>
              <w:bottom w:val="single" w:sz="8" w:color="auto"/>
            </w:tcBorders>
          </w:tcPr>
          <w:p>
            <w:pPr>
              <w:spacing w:after="0"/>
              <w:rPr>
                <w:sz w:val="20"/>
                <w:szCs w:val="20"/>
                <w:color w:val="auto"/>
              </w:rPr>
            </w:pPr>
          </w:p>
        </w:tc>
        <w:tc>
          <w:tcPr>
            <w:tcW w:w="3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Basis</w:t>
            </w:r>
            <w:r>
              <w:rPr>
                <w:rFonts w:ascii="Times New Roman" w:cs="Times New Roman" w:eastAsia="Times New Roman" w:hAnsi="Times New Roman"/>
                <w:sz w:val="9"/>
                <w:szCs w:val="9"/>
                <w:b w:val="1"/>
                <w:bCs w:val="1"/>
                <w:color w:val="auto"/>
              </w:rPr>
              <w:t>(2)</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6"/>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Basis</w:t>
            </w:r>
          </w:p>
        </w:tc>
        <w:tc>
          <w:tcPr>
            <w:tcW w:w="110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Basis</w:t>
            </w:r>
            <w:r>
              <w:rPr>
                <w:rFonts w:ascii="Times New Roman" w:cs="Times New Roman" w:eastAsia="Times New Roman" w:hAnsi="Times New Roman"/>
                <w:sz w:val="9"/>
                <w:szCs w:val="9"/>
                <w:b w:val="1"/>
                <w:bCs w:val="1"/>
                <w:color w:val="auto"/>
              </w:rPr>
              <w:t>(4)</w:t>
            </w:r>
          </w:p>
        </w:tc>
      </w:tr>
      <w:tr>
        <w:trPr>
          <w:trHeight w:val="207"/>
        </w:trPr>
        <w:tc>
          <w:tcPr>
            <w:tcW w:w="21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74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740" w:type="dxa"/>
            <w:vAlign w:val="bottom"/>
            <w:shd w:val="clear" w:color="auto" w:fill="DDDDDD"/>
          </w:tcPr>
          <w:p>
            <w:pPr>
              <w:spacing w:after="0"/>
              <w:rPr>
                <w:sz w:val="17"/>
                <w:szCs w:val="17"/>
                <w:color w:val="auto"/>
              </w:rPr>
            </w:pPr>
          </w:p>
        </w:tc>
        <w:tc>
          <w:tcPr>
            <w:tcW w:w="300" w:type="dxa"/>
            <w:vAlign w:val="bottom"/>
            <w:shd w:val="clear" w:color="auto" w:fill="DDDDDD"/>
          </w:tcPr>
          <w:p>
            <w:pPr>
              <w:spacing w:after="0"/>
              <w:rPr>
                <w:sz w:val="17"/>
                <w:szCs w:val="17"/>
                <w:color w:val="auto"/>
              </w:rPr>
            </w:pPr>
          </w:p>
        </w:tc>
        <w:tc>
          <w:tcPr>
            <w:tcW w:w="74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w w:val="88"/>
              </w:rPr>
              <w:t>$</w:t>
            </w:r>
          </w:p>
        </w:tc>
        <w:tc>
          <w:tcPr>
            <w:tcW w:w="640" w:type="dxa"/>
            <w:vAlign w:val="bottom"/>
            <w:shd w:val="clear" w:color="auto" w:fill="DDDDDD"/>
          </w:tcPr>
          <w:p>
            <w:pPr>
              <w:spacing w:after="0"/>
              <w:rPr>
                <w:sz w:val="17"/>
                <w:szCs w:val="17"/>
                <w:color w:val="auto"/>
              </w:rPr>
            </w:pPr>
          </w:p>
        </w:tc>
        <w:tc>
          <w:tcPr>
            <w:tcW w:w="40" w:type="dxa"/>
            <w:vAlign w:val="bottom"/>
            <w:shd w:val="clear" w:color="auto" w:fill="DDDDDD"/>
          </w:tcPr>
          <w:p>
            <w:pPr>
              <w:spacing w:after="0"/>
              <w:rPr>
                <w:sz w:val="17"/>
                <w:szCs w:val="17"/>
                <w:color w:val="auto"/>
              </w:rPr>
            </w:pPr>
          </w:p>
        </w:tc>
        <w:tc>
          <w:tcPr>
            <w:tcW w:w="28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w w:val="96"/>
              </w:rPr>
              <w:t>429</w:t>
            </w:r>
          </w:p>
        </w:tc>
        <w:tc>
          <w:tcPr>
            <w:tcW w:w="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420" w:type="dxa"/>
            <w:vAlign w:val="bottom"/>
            <w:shd w:val="clear" w:color="auto" w:fill="DDDDDD"/>
          </w:tcPr>
          <w:p>
            <w:pPr>
              <w:spacing w:after="0"/>
              <w:rPr>
                <w:sz w:val="17"/>
                <w:szCs w:val="17"/>
                <w:color w:val="auto"/>
              </w:rPr>
            </w:pPr>
          </w:p>
        </w:tc>
        <w:tc>
          <w:tcPr>
            <w:tcW w:w="56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60" w:type="dxa"/>
            <w:vAlign w:val="bottom"/>
            <w:shd w:val="clear" w:color="auto" w:fill="DDDDDD"/>
          </w:tcPr>
          <w:p>
            <w:pPr>
              <w:spacing w:after="0"/>
              <w:rPr>
                <w:sz w:val="17"/>
                <w:szCs w:val="17"/>
                <w:color w:val="auto"/>
              </w:rPr>
            </w:pPr>
          </w:p>
        </w:tc>
        <w:tc>
          <w:tcPr>
            <w:tcW w:w="800" w:type="dxa"/>
            <w:vAlign w:val="bottom"/>
            <w:gridSpan w:val="5"/>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3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w w:val="93"/>
              </w:rPr>
              <w:t>%</w:t>
            </w:r>
          </w:p>
        </w:tc>
        <w:tc>
          <w:tcPr>
            <w:tcW w:w="150" w:type="dxa"/>
            <w:vAlign w:val="bottom"/>
            <w:shd w:val="clear" w:color="auto" w:fill="DDDDDD"/>
          </w:tcPr>
          <w:p>
            <w:pPr>
              <w:spacing w:after="0"/>
              <w:rPr>
                <w:sz w:val="17"/>
                <w:szCs w:val="17"/>
                <w:color w:val="auto"/>
              </w:rPr>
            </w:pPr>
          </w:p>
        </w:tc>
        <w:tc>
          <w:tcPr>
            <w:tcW w:w="95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5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w w:val="79"/>
              </w:rPr>
              <w:t>%</w:t>
            </w:r>
          </w:p>
        </w:tc>
      </w:tr>
      <w:tr>
        <w:trPr>
          <w:trHeight w:val="217"/>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377</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3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5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1.63 %</w:t>
            </w:r>
          </w:p>
        </w:tc>
      </w:tr>
      <w:tr>
        <w:trPr>
          <w:trHeight w:val="216"/>
        </w:trPr>
        <w:tc>
          <w:tcPr>
            <w:tcW w:w="21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12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74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74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74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64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28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w w:val="96"/>
              </w:rPr>
              <w:t>391</w:t>
            </w:r>
          </w:p>
        </w:tc>
        <w:tc>
          <w:tcPr>
            <w:tcW w:w="300" w:type="dxa"/>
            <w:vAlign w:val="bottom"/>
            <w:shd w:val="clear" w:color="auto" w:fill="DDDDDD"/>
          </w:tcPr>
          <w:p>
            <w:pPr>
              <w:spacing w:after="0"/>
              <w:rPr>
                <w:sz w:val="18"/>
                <w:szCs w:val="18"/>
                <w:color w:val="auto"/>
              </w:rPr>
            </w:pPr>
          </w:p>
        </w:tc>
        <w:tc>
          <w:tcPr>
            <w:tcW w:w="420" w:type="dxa"/>
            <w:vAlign w:val="bottom"/>
            <w:shd w:val="clear" w:color="auto" w:fill="DDDDDD"/>
          </w:tcPr>
          <w:p>
            <w:pPr>
              <w:spacing w:after="0"/>
              <w:rPr>
                <w:sz w:val="18"/>
                <w:szCs w:val="18"/>
                <w:color w:val="auto"/>
              </w:rPr>
            </w:pPr>
          </w:p>
        </w:tc>
        <w:tc>
          <w:tcPr>
            <w:tcW w:w="56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60" w:type="dxa"/>
            <w:vAlign w:val="bottom"/>
            <w:shd w:val="clear" w:color="auto" w:fill="DDDDDD"/>
          </w:tcPr>
          <w:p>
            <w:pPr>
              <w:spacing w:after="0"/>
              <w:rPr>
                <w:sz w:val="18"/>
                <w:szCs w:val="18"/>
                <w:color w:val="auto"/>
              </w:rPr>
            </w:pPr>
          </w:p>
        </w:tc>
        <w:tc>
          <w:tcPr>
            <w:tcW w:w="800" w:type="dxa"/>
            <w:vAlign w:val="bottom"/>
            <w:gridSpan w:val="5"/>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3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w w:val="93"/>
              </w:rPr>
              <w:t>%</w:t>
            </w:r>
          </w:p>
        </w:tc>
        <w:tc>
          <w:tcPr>
            <w:tcW w:w="150" w:type="dxa"/>
            <w:vAlign w:val="bottom"/>
            <w:shd w:val="clear" w:color="auto" w:fill="DDDDDD"/>
          </w:tcPr>
          <w:p>
            <w:pPr>
              <w:spacing w:after="0"/>
              <w:rPr>
                <w:sz w:val="18"/>
                <w:szCs w:val="18"/>
                <w:color w:val="auto"/>
              </w:rPr>
            </w:pPr>
          </w:p>
        </w:tc>
        <w:tc>
          <w:tcPr>
            <w:tcW w:w="95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5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w w:val="79"/>
              </w:rPr>
              <w:t>%</w:t>
            </w:r>
          </w:p>
        </w:tc>
      </w:tr>
      <w:tr>
        <w:trPr>
          <w:trHeight w:val="217"/>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435</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3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5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1.60 %</w:t>
            </w:r>
          </w:p>
        </w:tc>
      </w:tr>
      <w:tr>
        <w:trPr>
          <w:trHeight w:val="217"/>
        </w:trPr>
        <w:tc>
          <w:tcPr>
            <w:tcW w:w="21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74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74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74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64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28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w w:val="96"/>
              </w:rPr>
              <w:t>271</w:t>
            </w:r>
          </w:p>
        </w:tc>
        <w:tc>
          <w:tcPr>
            <w:tcW w:w="300" w:type="dxa"/>
            <w:vAlign w:val="bottom"/>
            <w:shd w:val="clear" w:color="auto" w:fill="DDDDDD"/>
          </w:tcPr>
          <w:p>
            <w:pPr>
              <w:spacing w:after="0"/>
              <w:rPr>
                <w:sz w:val="18"/>
                <w:szCs w:val="18"/>
                <w:color w:val="auto"/>
              </w:rPr>
            </w:pPr>
          </w:p>
        </w:tc>
        <w:tc>
          <w:tcPr>
            <w:tcW w:w="420" w:type="dxa"/>
            <w:vAlign w:val="bottom"/>
            <w:shd w:val="clear" w:color="auto" w:fill="DDDDDD"/>
          </w:tcPr>
          <w:p>
            <w:pPr>
              <w:spacing w:after="0"/>
              <w:rPr>
                <w:sz w:val="18"/>
                <w:szCs w:val="18"/>
                <w:color w:val="auto"/>
              </w:rPr>
            </w:pPr>
          </w:p>
        </w:tc>
        <w:tc>
          <w:tcPr>
            <w:tcW w:w="56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60" w:type="dxa"/>
            <w:vAlign w:val="bottom"/>
            <w:shd w:val="clear" w:color="auto" w:fill="DDDDDD"/>
          </w:tcPr>
          <w:p>
            <w:pPr>
              <w:spacing w:after="0"/>
              <w:rPr>
                <w:sz w:val="18"/>
                <w:szCs w:val="18"/>
                <w:color w:val="auto"/>
              </w:rPr>
            </w:pPr>
          </w:p>
        </w:tc>
        <w:tc>
          <w:tcPr>
            <w:tcW w:w="800" w:type="dxa"/>
            <w:vAlign w:val="bottom"/>
            <w:gridSpan w:val="5"/>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23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w w:val="93"/>
              </w:rPr>
              <w:t>%</w:t>
            </w:r>
          </w:p>
        </w:tc>
        <w:tc>
          <w:tcPr>
            <w:tcW w:w="150" w:type="dxa"/>
            <w:vAlign w:val="bottom"/>
            <w:shd w:val="clear" w:color="auto" w:fill="DDDDDD"/>
          </w:tcPr>
          <w:p>
            <w:pPr>
              <w:spacing w:after="0"/>
              <w:rPr>
                <w:sz w:val="18"/>
                <w:szCs w:val="18"/>
                <w:color w:val="auto"/>
              </w:rPr>
            </w:pPr>
          </w:p>
        </w:tc>
        <w:tc>
          <w:tcPr>
            <w:tcW w:w="95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5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w w:val="79"/>
              </w:rPr>
              <w:t>%</w:t>
            </w:r>
          </w:p>
        </w:tc>
      </w:tr>
      <w:tr>
        <w:trPr>
          <w:trHeight w:val="217"/>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112</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3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0.19 %</w:t>
            </w:r>
          </w:p>
        </w:tc>
        <w:tc>
          <w:tcPr>
            <w:tcW w:w="15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0.05 %</w:t>
            </w:r>
          </w:p>
        </w:tc>
      </w:tr>
      <w:tr>
        <w:trPr>
          <w:trHeight w:val="217"/>
        </w:trPr>
        <w:tc>
          <w:tcPr>
            <w:tcW w:w="21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12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74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74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74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64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28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w w:val="96"/>
              </w:rPr>
              <w:t>130</w:t>
            </w:r>
          </w:p>
        </w:tc>
        <w:tc>
          <w:tcPr>
            <w:tcW w:w="300" w:type="dxa"/>
            <w:vAlign w:val="bottom"/>
            <w:shd w:val="clear" w:color="auto" w:fill="DDDDDD"/>
          </w:tcPr>
          <w:p>
            <w:pPr>
              <w:spacing w:after="0"/>
              <w:rPr>
                <w:sz w:val="18"/>
                <w:szCs w:val="18"/>
                <w:color w:val="auto"/>
              </w:rPr>
            </w:pPr>
          </w:p>
        </w:tc>
        <w:tc>
          <w:tcPr>
            <w:tcW w:w="420" w:type="dxa"/>
            <w:vAlign w:val="bottom"/>
            <w:shd w:val="clear" w:color="auto" w:fill="DDDDDD"/>
          </w:tcPr>
          <w:p>
            <w:pPr>
              <w:spacing w:after="0"/>
              <w:rPr>
                <w:sz w:val="18"/>
                <w:szCs w:val="18"/>
                <w:color w:val="auto"/>
              </w:rPr>
            </w:pPr>
          </w:p>
        </w:tc>
        <w:tc>
          <w:tcPr>
            <w:tcW w:w="56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60" w:type="dxa"/>
            <w:vAlign w:val="bottom"/>
            <w:shd w:val="clear" w:color="auto" w:fill="DDDDDD"/>
          </w:tcPr>
          <w:p>
            <w:pPr>
              <w:spacing w:after="0"/>
              <w:rPr>
                <w:sz w:val="18"/>
                <w:szCs w:val="18"/>
                <w:color w:val="auto"/>
              </w:rPr>
            </w:pPr>
          </w:p>
        </w:tc>
        <w:tc>
          <w:tcPr>
            <w:tcW w:w="800" w:type="dxa"/>
            <w:vAlign w:val="bottom"/>
            <w:gridSpan w:val="5"/>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3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w w:val="93"/>
              </w:rPr>
              <w:t>%</w:t>
            </w:r>
          </w:p>
        </w:tc>
        <w:tc>
          <w:tcPr>
            <w:tcW w:w="150" w:type="dxa"/>
            <w:vAlign w:val="bottom"/>
            <w:shd w:val="clear" w:color="auto" w:fill="DDDDDD"/>
          </w:tcPr>
          <w:p>
            <w:pPr>
              <w:spacing w:after="0"/>
              <w:rPr>
                <w:sz w:val="18"/>
                <w:szCs w:val="18"/>
                <w:color w:val="auto"/>
              </w:rPr>
            </w:pPr>
          </w:p>
        </w:tc>
        <w:tc>
          <w:tcPr>
            <w:tcW w:w="95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5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w w:val="79"/>
              </w:rPr>
              <w:t>%</w:t>
            </w:r>
          </w:p>
        </w:tc>
      </w:tr>
      <w:tr>
        <w:trPr>
          <w:trHeight w:val="220"/>
        </w:trPr>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186</w:t>
            </w:r>
          </w:p>
        </w:tc>
        <w:tc>
          <w:tcPr>
            <w:tcW w:w="3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3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0.52 %</w:t>
            </w:r>
          </w:p>
        </w:tc>
        <w:tc>
          <w:tcPr>
            <w:tcW w:w="15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0.61 %</w:t>
            </w:r>
          </w:p>
        </w:tc>
      </w:tr>
      <w:tr>
        <w:trPr>
          <w:trHeight w:val="208"/>
        </w:trPr>
        <w:tc>
          <w:tcPr>
            <w:tcW w:w="214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120" w:type="dxa"/>
            <w:vAlign w:val="bottom"/>
            <w:tcBorders>
              <w:bottom w:val="single" w:sz="8" w:color="auto"/>
            </w:tcBorders>
            <w:shd w:val="clear" w:color="auto" w:fill="DDDDDD"/>
          </w:tcPr>
          <w:p>
            <w:pPr>
              <w:spacing w:after="0"/>
              <w:rPr>
                <w:sz w:val="18"/>
                <w:szCs w:val="18"/>
                <w:color w:val="auto"/>
              </w:rPr>
            </w:pPr>
          </w:p>
        </w:tc>
        <w:tc>
          <w:tcPr>
            <w:tcW w:w="80" w:type="dxa"/>
            <w:vAlign w:val="bottom"/>
            <w:tcBorders>
              <w:bottom w:val="single" w:sz="8" w:color="auto"/>
            </w:tcBorders>
            <w:shd w:val="clear" w:color="auto" w:fill="DDDDDD"/>
          </w:tcPr>
          <w:p>
            <w:pPr>
              <w:spacing w:after="0"/>
              <w:rPr>
                <w:sz w:val="18"/>
                <w:szCs w:val="18"/>
                <w:color w:val="auto"/>
              </w:rPr>
            </w:pPr>
          </w:p>
        </w:tc>
        <w:tc>
          <w:tcPr>
            <w:tcW w:w="740" w:type="dxa"/>
            <w:vAlign w:val="bottom"/>
            <w:tcBorders>
              <w:bottom w:val="single" w:sz="8" w:color="auto"/>
            </w:tcBorders>
            <w:shd w:val="clear" w:color="auto" w:fill="DDDDDD"/>
          </w:tcPr>
          <w:p>
            <w:pPr>
              <w:spacing w:after="0"/>
              <w:rPr>
                <w:sz w:val="18"/>
                <w:szCs w:val="18"/>
                <w:color w:val="auto"/>
              </w:rPr>
            </w:pPr>
          </w:p>
        </w:tc>
        <w:tc>
          <w:tcPr>
            <w:tcW w:w="20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spacing w:after="0"/>
              <w:rPr>
                <w:sz w:val="18"/>
                <w:szCs w:val="18"/>
                <w:color w:val="auto"/>
              </w:rPr>
            </w:pPr>
          </w:p>
        </w:tc>
        <w:tc>
          <w:tcPr>
            <w:tcW w:w="740" w:type="dxa"/>
            <w:vAlign w:val="bottom"/>
            <w:tcBorders>
              <w:bottom w:val="single" w:sz="8" w:color="auto"/>
            </w:tcBorders>
            <w:shd w:val="clear" w:color="auto" w:fill="DDDDDD"/>
          </w:tcPr>
          <w:p>
            <w:pPr>
              <w:spacing w:after="0"/>
              <w:rPr>
                <w:sz w:val="18"/>
                <w:szCs w:val="18"/>
                <w:color w:val="auto"/>
              </w:rPr>
            </w:pPr>
          </w:p>
        </w:tc>
        <w:tc>
          <w:tcPr>
            <w:tcW w:w="300" w:type="dxa"/>
            <w:vAlign w:val="bottom"/>
            <w:tcBorders>
              <w:bottom w:val="single" w:sz="8" w:color="auto"/>
            </w:tcBorders>
            <w:shd w:val="clear" w:color="auto" w:fill="DDDDDD"/>
          </w:tcPr>
          <w:p>
            <w:pPr>
              <w:spacing w:after="0"/>
              <w:rPr>
                <w:sz w:val="18"/>
                <w:szCs w:val="18"/>
                <w:color w:val="auto"/>
              </w:rPr>
            </w:pPr>
          </w:p>
        </w:tc>
        <w:tc>
          <w:tcPr>
            <w:tcW w:w="740" w:type="dxa"/>
            <w:vAlign w:val="bottom"/>
            <w:tcBorders>
              <w:bottom w:val="single" w:sz="8" w:color="auto"/>
            </w:tcBorders>
            <w:shd w:val="clear" w:color="auto" w:fill="DDDDDD"/>
          </w:tcPr>
          <w:p>
            <w:pPr>
              <w:spacing w:after="0"/>
              <w:rPr>
                <w:sz w:val="18"/>
                <w:szCs w:val="18"/>
                <w:color w:val="auto"/>
              </w:rPr>
            </w:pPr>
          </w:p>
        </w:tc>
        <w:tc>
          <w:tcPr>
            <w:tcW w:w="140" w:type="dxa"/>
            <w:vAlign w:val="bottom"/>
            <w:tcBorders>
              <w:bottom w:val="single" w:sz="8" w:color="auto"/>
            </w:tcBorders>
            <w:shd w:val="clear" w:color="auto" w:fill="DDDDDD"/>
          </w:tcPr>
          <w:p>
            <w:pPr>
              <w:spacing w:after="0"/>
              <w:rPr>
                <w:sz w:val="18"/>
                <w:szCs w:val="18"/>
                <w:color w:val="auto"/>
              </w:rPr>
            </w:pPr>
          </w:p>
        </w:tc>
        <w:tc>
          <w:tcPr>
            <w:tcW w:w="120" w:type="dxa"/>
            <w:vAlign w:val="bottom"/>
            <w:tcBorders>
              <w:bottom w:val="single" w:sz="8" w:color="auto"/>
            </w:tcBorders>
            <w:shd w:val="clear" w:color="auto" w:fill="DDDDDD"/>
          </w:tcPr>
          <w:p>
            <w:pPr>
              <w:spacing w:after="0"/>
              <w:rPr>
                <w:sz w:val="18"/>
                <w:szCs w:val="18"/>
                <w:color w:val="auto"/>
              </w:rPr>
            </w:pPr>
          </w:p>
        </w:tc>
        <w:tc>
          <w:tcPr>
            <w:tcW w:w="120" w:type="dxa"/>
            <w:vAlign w:val="bottom"/>
            <w:tcBorders>
              <w:bottom w:val="single" w:sz="8" w:color="auto"/>
            </w:tcBorders>
            <w:shd w:val="clear" w:color="auto" w:fill="DDDDDD"/>
          </w:tcPr>
          <w:p>
            <w:pPr>
              <w:spacing w:after="0"/>
              <w:rPr>
                <w:sz w:val="18"/>
                <w:szCs w:val="18"/>
                <w:color w:val="auto"/>
              </w:rPr>
            </w:pPr>
          </w:p>
        </w:tc>
        <w:tc>
          <w:tcPr>
            <w:tcW w:w="18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spacing w:after="0"/>
              <w:rPr>
                <w:sz w:val="18"/>
                <w:szCs w:val="18"/>
                <w:color w:val="auto"/>
              </w:rPr>
            </w:pPr>
          </w:p>
        </w:tc>
        <w:tc>
          <w:tcPr>
            <w:tcW w:w="640" w:type="dxa"/>
            <w:vAlign w:val="bottom"/>
            <w:tcBorders>
              <w:bottom w:val="single" w:sz="8" w:color="auto"/>
            </w:tcBorders>
            <w:shd w:val="clear" w:color="auto" w:fill="DDDDDD"/>
          </w:tcPr>
          <w:p>
            <w:pPr>
              <w:spacing w:after="0"/>
              <w:rPr>
                <w:sz w:val="18"/>
                <w:szCs w:val="18"/>
                <w:color w:val="auto"/>
              </w:rPr>
            </w:pPr>
          </w:p>
        </w:tc>
        <w:tc>
          <w:tcPr>
            <w:tcW w:w="40" w:type="dxa"/>
            <w:vAlign w:val="bottom"/>
            <w:tcBorders>
              <w:bottom w:val="single" w:sz="8" w:color="auto"/>
            </w:tcBorders>
            <w:shd w:val="clear" w:color="auto" w:fill="DDDDDD"/>
          </w:tcPr>
          <w:p>
            <w:pPr>
              <w:spacing w:after="0"/>
              <w:rPr>
                <w:sz w:val="18"/>
                <w:szCs w:val="18"/>
                <w:color w:val="auto"/>
              </w:rPr>
            </w:pPr>
          </w:p>
        </w:tc>
        <w:tc>
          <w:tcPr>
            <w:tcW w:w="140" w:type="dxa"/>
            <w:vAlign w:val="bottom"/>
            <w:tcBorders>
              <w:bottom w:val="single" w:sz="8" w:color="auto"/>
            </w:tcBorders>
            <w:shd w:val="clear" w:color="auto" w:fill="DDDDDD"/>
          </w:tcPr>
          <w:p>
            <w:pPr>
              <w:spacing w:after="0"/>
              <w:rPr>
                <w:sz w:val="18"/>
                <w:szCs w:val="18"/>
                <w:color w:val="auto"/>
              </w:rPr>
            </w:pPr>
          </w:p>
        </w:tc>
        <w:tc>
          <w:tcPr>
            <w:tcW w:w="110" w:type="dxa"/>
            <w:vAlign w:val="bottom"/>
            <w:tcBorders>
              <w:bottom w:val="single" w:sz="8" w:color="auto"/>
            </w:tcBorders>
            <w:shd w:val="clear" w:color="auto" w:fill="DDDDDD"/>
          </w:tcPr>
          <w:p>
            <w:pPr>
              <w:spacing w:after="0"/>
              <w:rPr>
                <w:sz w:val="18"/>
                <w:szCs w:val="18"/>
                <w:color w:val="auto"/>
              </w:rPr>
            </w:pPr>
          </w:p>
        </w:tc>
        <w:tc>
          <w:tcPr>
            <w:tcW w:w="30" w:type="dxa"/>
            <w:vAlign w:val="bottom"/>
            <w:tcBorders>
              <w:bottom w:val="single" w:sz="8" w:color="auto"/>
            </w:tcBorders>
            <w:shd w:val="clear" w:color="auto" w:fill="DDDDDD"/>
          </w:tcPr>
          <w:p>
            <w:pPr>
              <w:spacing w:after="0"/>
              <w:rPr>
                <w:sz w:val="18"/>
                <w:szCs w:val="18"/>
                <w:color w:val="auto"/>
              </w:rPr>
            </w:pPr>
          </w:p>
        </w:tc>
        <w:tc>
          <w:tcPr>
            <w:tcW w:w="300" w:type="dxa"/>
            <w:vAlign w:val="bottom"/>
            <w:tcBorders>
              <w:bottom w:val="single" w:sz="8" w:color="auto"/>
            </w:tcBorders>
            <w:shd w:val="clear" w:color="auto" w:fill="DDDDDD"/>
          </w:tcPr>
          <w:p>
            <w:pPr>
              <w:spacing w:after="0"/>
              <w:rPr>
                <w:sz w:val="18"/>
                <w:szCs w:val="18"/>
                <w:color w:val="auto"/>
              </w:rPr>
            </w:pPr>
          </w:p>
        </w:tc>
        <w:tc>
          <w:tcPr>
            <w:tcW w:w="420" w:type="dxa"/>
            <w:vAlign w:val="bottom"/>
            <w:tcBorders>
              <w:bottom w:val="single" w:sz="8" w:color="auto"/>
            </w:tcBorders>
            <w:shd w:val="clear" w:color="auto" w:fill="DDDDDD"/>
          </w:tcPr>
          <w:p>
            <w:pPr>
              <w:spacing w:after="0"/>
              <w:rPr>
                <w:sz w:val="18"/>
                <w:szCs w:val="18"/>
                <w:color w:val="auto"/>
              </w:rPr>
            </w:pPr>
          </w:p>
        </w:tc>
        <w:tc>
          <w:tcPr>
            <w:tcW w:w="18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spacing w:after="0"/>
              <w:rPr>
                <w:sz w:val="18"/>
                <w:szCs w:val="18"/>
                <w:color w:val="auto"/>
              </w:rPr>
            </w:pPr>
          </w:p>
        </w:tc>
        <w:tc>
          <w:tcPr>
            <w:tcW w:w="28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spacing w:after="0"/>
              <w:rPr>
                <w:sz w:val="18"/>
                <w:szCs w:val="18"/>
                <w:color w:val="auto"/>
              </w:rPr>
            </w:pPr>
          </w:p>
        </w:tc>
        <w:tc>
          <w:tcPr>
            <w:tcW w:w="260" w:type="dxa"/>
            <w:vAlign w:val="bottom"/>
            <w:tcBorders>
              <w:bottom w:val="single" w:sz="8" w:color="auto"/>
            </w:tcBorders>
            <w:shd w:val="clear" w:color="auto" w:fill="DDDDDD"/>
          </w:tcPr>
          <w:p>
            <w:pPr>
              <w:spacing w:after="0"/>
              <w:rPr>
                <w:sz w:val="18"/>
                <w:szCs w:val="18"/>
                <w:color w:val="auto"/>
              </w:rPr>
            </w:pPr>
          </w:p>
        </w:tc>
        <w:tc>
          <w:tcPr>
            <w:tcW w:w="20" w:type="dxa"/>
            <w:vAlign w:val="bottom"/>
            <w:tcBorders>
              <w:bottom w:val="single" w:sz="8" w:color="auto"/>
            </w:tcBorders>
            <w:shd w:val="clear" w:color="auto" w:fill="DDDDDD"/>
          </w:tcPr>
          <w:p>
            <w:pPr>
              <w:spacing w:after="0"/>
              <w:rPr>
                <w:sz w:val="18"/>
                <w:szCs w:val="18"/>
                <w:color w:val="auto"/>
              </w:rPr>
            </w:pPr>
          </w:p>
        </w:tc>
        <w:tc>
          <w:tcPr>
            <w:tcW w:w="80" w:type="dxa"/>
            <w:vAlign w:val="bottom"/>
            <w:tcBorders>
              <w:bottom w:val="single" w:sz="8" w:color="auto"/>
            </w:tcBorders>
            <w:shd w:val="clear" w:color="auto" w:fill="DDDDDD"/>
          </w:tcPr>
          <w:p>
            <w:pPr>
              <w:spacing w:after="0"/>
              <w:rPr>
                <w:sz w:val="18"/>
                <w:szCs w:val="18"/>
                <w:color w:val="auto"/>
              </w:rPr>
            </w:pPr>
          </w:p>
        </w:tc>
        <w:tc>
          <w:tcPr>
            <w:tcW w:w="80" w:type="dxa"/>
            <w:vAlign w:val="bottom"/>
            <w:tcBorders>
              <w:bottom w:val="single" w:sz="8" w:color="auto"/>
            </w:tcBorders>
            <w:shd w:val="clear" w:color="auto" w:fill="DDDDDD"/>
          </w:tcPr>
          <w:p>
            <w:pPr>
              <w:spacing w:after="0"/>
              <w:rPr>
                <w:sz w:val="18"/>
                <w:szCs w:val="18"/>
                <w:color w:val="auto"/>
              </w:rPr>
            </w:pPr>
          </w:p>
        </w:tc>
        <w:tc>
          <w:tcPr>
            <w:tcW w:w="120" w:type="dxa"/>
            <w:vAlign w:val="bottom"/>
            <w:tcBorders>
              <w:bottom w:val="single" w:sz="8" w:color="auto"/>
            </w:tcBorders>
            <w:shd w:val="clear" w:color="auto" w:fill="DDDDDD"/>
          </w:tcPr>
          <w:p>
            <w:pPr>
              <w:spacing w:after="0"/>
              <w:rPr>
                <w:sz w:val="18"/>
                <w:szCs w:val="18"/>
                <w:color w:val="auto"/>
              </w:rPr>
            </w:pPr>
          </w:p>
        </w:tc>
        <w:tc>
          <w:tcPr>
            <w:tcW w:w="500" w:type="dxa"/>
            <w:vAlign w:val="bottom"/>
            <w:tcBorders>
              <w:bottom w:val="single" w:sz="8" w:color="auto"/>
            </w:tcBorders>
            <w:shd w:val="clear" w:color="auto" w:fill="DDDDDD"/>
          </w:tcPr>
          <w:p>
            <w:pPr>
              <w:spacing w:after="0"/>
              <w:rPr>
                <w:sz w:val="18"/>
                <w:szCs w:val="18"/>
                <w:color w:val="auto"/>
              </w:rPr>
            </w:pPr>
          </w:p>
        </w:tc>
        <w:tc>
          <w:tcPr>
            <w:tcW w:w="230" w:type="dxa"/>
            <w:vAlign w:val="bottom"/>
            <w:tcBorders>
              <w:bottom w:val="single" w:sz="8" w:color="auto"/>
            </w:tcBorders>
            <w:shd w:val="clear" w:color="auto" w:fill="DDDDDD"/>
          </w:tcPr>
          <w:p>
            <w:pPr>
              <w:spacing w:after="0"/>
              <w:rPr>
                <w:sz w:val="18"/>
                <w:szCs w:val="18"/>
                <w:color w:val="auto"/>
              </w:rPr>
            </w:pPr>
          </w:p>
        </w:tc>
        <w:tc>
          <w:tcPr>
            <w:tcW w:w="150" w:type="dxa"/>
            <w:vAlign w:val="bottom"/>
            <w:tcBorders>
              <w:bottom w:val="single" w:sz="8" w:color="auto"/>
            </w:tcBorders>
            <w:shd w:val="clear" w:color="auto" w:fill="DDDDDD"/>
          </w:tcPr>
          <w:p>
            <w:pPr>
              <w:spacing w:after="0"/>
              <w:rPr>
                <w:sz w:val="18"/>
                <w:szCs w:val="18"/>
                <w:color w:val="auto"/>
              </w:rPr>
            </w:pPr>
          </w:p>
        </w:tc>
        <w:tc>
          <w:tcPr>
            <w:tcW w:w="200" w:type="dxa"/>
            <w:vAlign w:val="bottom"/>
            <w:tcBorders>
              <w:bottom w:val="single" w:sz="8" w:color="auto"/>
            </w:tcBorders>
            <w:shd w:val="clear" w:color="auto" w:fill="DDDDDD"/>
          </w:tcPr>
          <w:p>
            <w:pPr>
              <w:spacing w:after="0"/>
              <w:rPr>
                <w:sz w:val="18"/>
                <w:szCs w:val="18"/>
                <w:color w:val="auto"/>
              </w:rPr>
            </w:pPr>
          </w:p>
        </w:tc>
        <w:tc>
          <w:tcPr>
            <w:tcW w:w="750" w:type="dxa"/>
            <w:vAlign w:val="bottom"/>
            <w:tcBorders>
              <w:bottom w:val="single" w:sz="8" w:color="auto"/>
            </w:tcBorders>
            <w:shd w:val="clear" w:color="auto" w:fill="DDDDDD"/>
          </w:tcPr>
          <w:p>
            <w:pPr>
              <w:spacing w:after="0"/>
              <w:rPr>
                <w:sz w:val="18"/>
                <w:szCs w:val="18"/>
                <w:color w:val="auto"/>
              </w:rPr>
            </w:pPr>
          </w:p>
        </w:tc>
        <w:tc>
          <w:tcPr>
            <w:tcW w:w="150" w:type="dxa"/>
            <w:vAlign w:val="bottom"/>
            <w:tcBorders>
              <w:bottom w:val="single" w:sz="8" w:color="auto"/>
            </w:tcBorders>
            <w:shd w:val="clear" w:color="auto" w:fill="DDDDDD"/>
          </w:tcPr>
          <w:p>
            <w:pPr>
              <w:spacing w:after="0"/>
              <w:rPr>
                <w:sz w:val="18"/>
                <w:szCs w:val="18"/>
                <w:color w:val="auto"/>
              </w:rPr>
            </w:pPr>
          </w:p>
        </w:tc>
      </w:tr>
      <w:tr>
        <w:trPr>
          <w:trHeight w:val="209"/>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3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5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1.69 %</w:t>
            </w:r>
          </w:p>
        </w:tc>
      </w:tr>
      <w:tr>
        <w:trPr>
          <w:trHeight w:val="217"/>
        </w:trPr>
        <w:tc>
          <w:tcPr>
            <w:tcW w:w="21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74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74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74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64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28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w w:val="96"/>
              </w:rPr>
              <w:t>699</w:t>
            </w:r>
          </w:p>
        </w:tc>
        <w:tc>
          <w:tcPr>
            <w:tcW w:w="300" w:type="dxa"/>
            <w:vAlign w:val="bottom"/>
            <w:shd w:val="clear" w:color="auto" w:fill="DDDDDD"/>
          </w:tcPr>
          <w:p>
            <w:pPr>
              <w:spacing w:after="0"/>
              <w:rPr>
                <w:sz w:val="18"/>
                <w:szCs w:val="18"/>
                <w:color w:val="auto"/>
              </w:rPr>
            </w:pPr>
          </w:p>
        </w:tc>
        <w:tc>
          <w:tcPr>
            <w:tcW w:w="420" w:type="dxa"/>
            <w:vAlign w:val="bottom"/>
            <w:shd w:val="clear" w:color="auto" w:fill="DDDDDD"/>
          </w:tcPr>
          <w:p>
            <w:pPr>
              <w:spacing w:after="0"/>
              <w:rPr>
                <w:sz w:val="18"/>
                <w:szCs w:val="18"/>
                <w:color w:val="auto"/>
              </w:rPr>
            </w:pPr>
          </w:p>
        </w:tc>
        <w:tc>
          <w:tcPr>
            <w:tcW w:w="56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60" w:type="dxa"/>
            <w:vAlign w:val="bottom"/>
            <w:shd w:val="clear" w:color="auto" w:fill="DDDDDD"/>
          </w:tcPr>
          <w:p>
            <w:pPr>
              <w:spacing w:after="0"/>
              <w:rPr>
                <w:sz w:val="18"/>
                <w:szCs w:val="18"/>
                <w:color w:val="auto"/>
              </w:rPr>
            </w:pPr>
          </w:p>
        </w:tc>
        <w:tc>
          <w:tcPr>
            <w:tcW w:w="800" w:type="dxa"/>
            <w:vAlign w:val="bottom"/>
            <w:gridSpan w:val="5"/>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3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w w:val="93"/>
              </w:rPr>
              <w:t>%</w:t>
            </w:r>
          </w:p>
        </w:tc>
        <w:tc>
          <w:tcPr>
            <w:tcW w:w="150" w:type="dxa"/>
            <w:vAlign w:val="bottom"/>
            <w:shd w:val="clear" w:color="auto" w:fill="DDDDDD"/>
          </w:tcPr>
          <w:p>
            <w:pPr>
              <w:spacing w:after="0"/>
              <w:rPr>
                <w:sz w:val="18"/>
                <w:szCs w:val="18"/>
                <w:color w:val="auto"/>
              </w:rPr>
            </w:pPr>
          </w:p>
        </w:tc>
        <w:tc>
          <w:tcPr>
            <w:tcW w:w="95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5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w w:val="79"/>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4219575</wp:posOffset>
                </wp:positionH>
                <wp:positionV relativeFrom="paragraph">
                  <wp:posOffset>-4204970</wp:posOffset>
                </wp:positionV>
                <wp:extent cx="124968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4968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25pt,-331.0999pt" to="430.65pt,-331.0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5530215</wp:posOffset>
                </wp:positionH>
                <wp:positionV relativeFrom="paragraph">
                  <wp:posOffset>-4204970</wp:posOffset>
                </wp:positionV>
                <wp:extent cx="133032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032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5.45pt,-331.0999pt" to="540.2pt,-331.0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-2663825</wp:posOffset>
                </wp:positionV>
                <wp:extent cx="685800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209.7499pt" to="540.2pt,-209.7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-2096135</wp:posOffset>
                </wp:positionV>
                <wp:extent cx="685800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65.0499pt" to="540.2pt,-165.0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3629025</wp:posOffset>
                </wp:positionH>
                <wp:positionV relativeFrom="paragraph">
                  <wp:posOffset>-1812925</wp:posOffset>
                </wp:positionV>
                <wp:extent cx="154622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6225" cy="4763"/>
                        </a:xfrm>
                        <a:prstGeom prst="line">
                          <a:avLst/>
                        </a:prstGeom>
                        <a:solidFill>
                          <a:srgbClr val="FFFFFF"/>
                        </a:solidFill>
                        <a:ln w="1765">
                          <a:solidFill>
                            <a:srgbClr val="FFFFFF"/>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5.75pt,-142.7499pt" to="407.5pt,-142.7499pt" o:allowincell="f" strokecolor="#FFFFFF" strokeweight="0.139pt"/>
            </w:pict>
          </mc:Fallback>
        </mc:AlternateContent>
        <mc:AlternateContent>
          <mc:Choice Requires="wps">
            <w:drawing>
              <wp:anchor simplePos="0" relativeHeight="251657728" behindDoc="1" locked="0" layoutInCell="0" allowOverlap="1">
                <wp:simplePos x="0" y="0"/>
                <wp:positionH relativeFrom="column">
                  <wp:posOffset>5239385</wp:posOffset>
                </wp:positionH>
                <wp:positionV relativeFrom="paragraph">
                  <wp:posOffset>-1812925</wp:posOffset>
                </wp:positionV>
                <wp:extent cx="162115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21155" cy="4763"/>
                        </a:xfrm>
                        <a:prstGeom prst="line">
                          <a:avLst/>
                        </a:prstGeom>
                        <a:solidFill>
                          <a:srgbClr val="FFFFFF"/>
                        </a:solidFill>
                        <a:ln w="1765">
                          <a:solidFill>
                            <a:srgbClr val="FFFFFF"/>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2.55pt,-142.7499pt" to="540.2pt,-142.7499pt" o:allowincell="f" strokecolor="#FFFFFF" strokeweight="0.13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-271780</wp:posOffset>
                </wp:positionV>
                <wp:extent cx="685800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65">
                          <a:solidFill>
                            <a:srgbClr val="FFFFFF"/>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21.3999pt" to="540.2pt,-21.3999pt" o:allowincell="f" strokecolor="#FFFFFF" strokeweight="0.139pt"/>
            </w:pict>
          </mc:Fallback>
        </mc:AlternateContent>
      </w:r>
    </w:p>
    <w:p>
      <w:pPr>
        <w:spacing w:after="0" w:line="196" w:lineRule="exact"/>
        <w:rPr>
          <w:sz w:val="20"/>
          <w:szCs w:val="20"/>
          <w:color w:val="auto"/>
        </w:rPr>
      </w:pPr>
    </w:p>
    <w:p>
      <w:pPr>
        <w:ind w:left="360" w:right="100" w:hanging="350"/>
        <w:spacing w:after="0" w:line="259" w:lineRule="auto"/>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yields and costs of borrowings presented in the tables above and the tables on page 41 are calculated based on the average balances of the underlying investment portfolio/repurchase agreement balances and are annualized for the periods presented.</w:t>
      </w:r>
    </w:p>
    <w:p>
      <w:pPr>
        <w:spacing w:after="0" w:line="1" w:lineRule="exact"/>
        <w:rPr>
          <w:rFonts w:ascii="Times New Roman" w:cs="Times New Roman" w:eastAsia="Times New Roman" w:hAnsi="Times New Roman"/>
          <w:sz w:val="18"/>
          <w:szCs w:val="18"/>
          <w:color w:val="auto"/>
        </w:rPr>
      </w:pPr>
    </w:p>
    <w:p>
      <w:pPr>
        <w:ind w:left="360" w:right="560" w:hanging="350"/>
        <w:spacing w:after="0" w:line="245" w:lineRule="auto"/>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interest expense and economic net interest income presented in the tables above and the tables on page 41 include the effect of derivative instrument hedges for only the period presented.</w:t>
      </w:r>
    </w:p>
    <w:p>
      <w:pPr>
        <w:spacing w:after="0" w:line="1" w:lineRule="exact"/>
        <w:rPr>
          <w:rFonts w:ascii="Times New Roman" w:cs="Times New Roman" w:eastAsia="Times New Roman" w:hAnsi="Times New Roman"/>
          <w:sz w:val="18"/>
          <w:szCs w:val="18"/>
          <w:color w:val="auto"/>
        </w:rPr>
      </w:pPr>
    </w:p>
    <w:p>
      <w:pPr>
        <w:ind w:left="360" w:right="320" w:hanging="350"/>
        <w:spacing w:after="0" w:line="245" w:lineRule="auto"/>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interest cost of our borrowings and the effect of derivative instrument hedges attributed to the period related to hedging activities divided by average MBS held.</w:t>
      </w:r>
    </w:p>
    <w:p>
      <w:pPr>
        <w:spacing w:after="0" w:line="1" w:lineRule="exact"/>
        <w:rPr>
          <w:rFonts w:ascii="Times New Roman" w:cs="Times New Roman" w:eastAsia="Times New Roman" w:hAnsi="Times New Roman"/>
          <w:sz w:val="18"/>
          <w:szCs w:val="18"/>
          <w:color w:val="auto"/>
        </w:rPr>
      </w:pPr>
    </w:p>
    <w:p>
      <w:pPr>
        <w:ind w:left="380" w:hanging="370"/>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net interest spread is calculated by subtracting average economic cost of funds from yield on average MBS.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Cost of Funds</w:t>
      </w:r>
    </w:p>
    <w:p>
      <w:pPr>
        <w:spacing w:after="0" w:line="229" w:lineRule="exact"/>
        <w:rPr>
          <w:sz w:val="20"/>
          <w:szCs w:val="20"/>
          <w:color w:val="auto"/>
        </w:rPr>
      </w:pPr>
    </w:p>
    <w:p>
      <w:pPr>
        <w:ind w:right="280" w:firstLine="360"/>
        <w:spacing w:after="0" w:line="265" w:lineRule="auto"/>
        <w:rPr>
          <w:sz w:val="20"/>
          <w:szCs w:val="20"/>
          <w:color w:val="auto"/>
        </w:rPr>
      </w:pPr>
      <w:r>
        <w:rPr>
          <w:rFonts w:ascii="Times New Roman" w:cs="Times New Roman" w:eastAsia="Times New Roman" w:hAnsi="Times New Roman"/>
          <w:sz w:val="19"/>
          <w:szCs w:val="19"/>
          <w:color w:val="auto"/>
        </w:rPr>
        <w:t>Since all of our repurchase agreements are short-term, changes in market rates directly affect our interest expense. Our average cost of funds calculated on a GAAP basis was 28 bps above the one-month average SOFR and 10 bps above the six- month average SOFR for the year ended December 31, 2025. Our average economic cost of funds was 13 bps below the one-month average SOFR and 31 bps below the six-month average SOFR for the year ended December 31, 2025. The average term to maturity of the outstanding repurchase agreements decreased to 31 days as of December 31, 2025 from 49 days as of December 31, 2024.</w:t>
      </w:r>
    </w:p>
    <w:p>
      <w:pPr>
        <w:spacing w:after="0" w:line="173" w:lineRule="exact"/>
        <w:rPr>
          <w:sz w:val="20"/>
          <w:szCs w:val="20"/>
          <w:color w:val="auto"/>
        </w:rPr>
      </w:pPr>
    </w:p>
    <w:p>
      <w:pPr>
        <w:ind w:right="620" w:firstLine="360"/>
        <w:spacing w:after="0" w:line="278" w:lineRule="auto"/>
        <w:rPr>
          <w:sz w:val="20"/>
          <w:szCs w:val="20"/>
          <w:color w:val="auto"/>
        </w:rPr>
      </w:pPr>
      <w:r>
        <w:rPr>
          <w:rFonts w:ascii="Times New Roman" w:cs="Times New Roman" w:eastAsia="Times New Roman" w:hAnsi="Times New Roman"/>
          <w:sz w:val="20"/>
          <w:szCs w:val="20"/>
          <w:color w:val="auto"/>
        </w:rPr>
        <w:t>The table below presents one-month average and six-month average SOFR rates for each quarter in 2025 and 2024 and for the years ended December 31, 2025 and 2024 on both a GAAP and economic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800"/>
          </w:cols>
          <w:pgMar w:left="720" w:top="785" w:right="720" w:bottom="135" w:gutter="0" w:footer="0" w:header="0"/>
        </w:sectPr>
      </w:pPr>
    </w:p>
    <w:bookmarkStart w:id="41" w:name="page42"/>
    <w:bookmarkEnd w:id="41"/>
    <w:tbl>
      <w:tblPr>
        <w:tblLayout w:type="fixed"/>
        <w:tblInd w:w="20" w:type="dxa"/>
        <w:tblCellMar>
          <w:top w:w="0" w:type="dxa"/>
          <w:left w:w="0" w:type="dxa"/>
          <w:bottom w:w="0" w:type="dxa"/>
          <w:right w:w="0" w:type="dxa"/>
        </w:tblCellMar>
      </w:tblPr>
      <w:tr>
        <w:trPr>
          <w:trHeight w:val="209"/>
        </w:trPr>
        <w:tc>
          <w:tcPr>
            <w:tcW w:w="29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gridSpan w:val="6"/>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Average GAAP Cost of</w:t>
            </w: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5"/>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Average Economic Cost of</w:t>
            </w:r>
          </w:p>
        </w:tc>
        <w:tc>
          <w:tcPr>
            <w:tcW w:w="0" w:type="dxa"/>
            <w:vAlign w:val="bottom"/>
          </w:tcPr>
          <w:p>
            <w:pPr>
              <w:spacing w:after="0"/>
              <w:rPr>
                <w:sz w:val="1"/>
                <w:szCs w:val="1"/>
                <w:color w:val="auto"/>
              </w:rPr>
            </w:pPr>
          </w:p>
        </w:tc>
      </w:tr>
      <w:tr>
        <w:trPr>
          <w:trHeight w:val="217"/>
        </w:trPr>
        <w:tc>
          <w:tcPr>
            <w:tcW w:w="2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6"/>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Funds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Funds</w:t>
            </w:r>
          </w:p>
        </w:tc>
        <w:tc>
          <w:tcPr>
            <w:tcW w:w="91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10"/>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Average SOFR</w:t>
            </w:r>
          </w:p>
        </w:tc>
        <w:tc>
          <w:tcPr>
            <w:tcW w:w="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Relative to Average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Relative to Average</w:t>
            </w: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10"/>
            <w:vMerge w:val="continue"/>
          </w:tcPr>
          <w:p>
            <w:pPr>
              <w:spacing w:after="0"/>
              <w:rPr>
                <w:sz w:val="18"/>
                <w:szCs w:val="18"/>
                <w:color w:val="auto"/>
              </w:rPr>
            </w:pPr>
          </w:p>
        </w:tc>
        <w:tc>
          <w:tcPr>
            <w:tcW w:w="116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One-Month</w:t>
            </w:r>
          </w:p>
        </w:tc>
        <w:tc>
          <w:tcPr>
            <w:tcW w:w="160" w:type="dxa"/>
            <w:vAlign w:val="bottom"/>
          </w:tcPr>
          <w:p>
            <w:pPr>
              <w:spacing w:after="0"/>
              <w:rPr>
                <w:sz w:val="18"/>
                <w:szCs w:val="18"/>
                <w:color w:val="auto"/>
              </w:rPr>
            </w:pPr>
          </w:p>
        </w:tc>
        <w:tc>
          <w:tcPr>
            <w:tcW w:w="11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7"/>
              </w:rPr>
              <w:t>Six-Month</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One-Month</w:t>
            </w:r>
          </w:p>
        </w:tc>
        <w:tc>
          <w:tcPr>
            <w:tcW w:w="11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7"/>
              </w:rPr>
              <w:t>Six-Month</w:t>
            </w:r>
          </w:p>
        </w:tc>
        <w:tc>
          <w:tcPr>
            <w:tcW w:w="0" w:type="dxa"/>
            <w:vAlign w:val="bottom"/>
          </w:tcPr>
          <w:p>
            <w:pPr>
              <w:spacing w:after="0"/>
              <w:rPr>
                <w:sz w:val="1"/>
                <w:szCs w:val="1"/>
                <w:color w:val="auto"/>
              </w:rPr>
            </w:pPr>
          </w:p>
        </w:tc>
      </w:tr>
      <w:tr>
        <w:trPr>
          <w:trHeight w:val="235"/>
        </w:trPr>
        <w:tc>
          <w:tcPr>
            <w:tcW w:w="3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500" w:type="dxa"/>
            <w:vAlign w:val="bottom"/>
            <w:tcBorders>
              <w:top w:val="single" w:sz="8" w:color="auto"/>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One-Month</w:t>
            </w:r>
          </w:p>
        </w:tc>
        <w:tc>
          <w:tcPr>
            <w:tcW w:w="20" w:type="dxa"/>
            <w:vAlign w:val="bottom"/>
            <w:tcBorders>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5"/>
              </w:rPr>
              <w:t>Six-Month</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SOFR</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SOFR</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SOFR</w:t>
            </w:r>
          </w:p>
        </w:tc>
        <w:tc>
          <w:tcPr>
            <w:tcW w:w="112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SOFR</w:t>
            </w:r>
          </w:p>
        </w:tc>
        <w:tc>
          <w:tcPr>
            <w:tcW w:w="0" w:type="dxa"/>
            <w:vAlign w:val="bottom"/>
          </w:tcPr>
          <w:p>
            <w:pPr>
              <w:spacing w:after="0"/>
              <w:rPr>
                <w:sz w:val="1"/>
                <w:szCs w:val="1"/>
                <w:color w:val="auto"/>
              </w:rPr>
            </w:pPr>
          </w:p>
        </w:tc>
      </w:tr>
      <w:tr>
        <w:trPr>
          <w:trHeight w:val="182"/>
        </w:trPr>
        <w:tc>
          <w:tcPr>
            <w:tcW w:w="292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rPr>
              <w:t>December 31, 2025</w:t>
            </w:r>
          </w:p>
        </w:tc>
        <w:tc>
          <w:tcPr>
            <w:tcW w:w="20" w:type="dxa"/>
            <w:vAlign w:val="bottom"/>
            <w:tcBorders>
              <w:top w:val="single" w:sz="8" w:color="DDDDDD"/>
              <w:bottom w:val="single" w:sz="8" w:color="DDDDDD"/>
            </w:tcBorders>
            <w:shd w:val="clear" w:color="auto" w:fill="DDDDDD"/>
          </w:tcPr>
          <w:p>
            <w:pPr>
              <w:spacing w:after="0"/>
              <w:rPr>
                <w:sz w:val="15"/>
                <w:szCs w:val="15"/>
                <w:color w:val="auto"/>
              </w:rPr>
            </w:pPr>
          </w:p>
        </w:tc>
        <w:tc>
          <w:tcPr>
            <w:tcW w:w="6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9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3.79</w:t>
            </w:r>
          </w:p>
        </w:tc>
        <w:tc>
          <w:tcPr>
            <w:tcW w:w="20" w:type="dxa"/>
            <w:vAlign w:val="bottom"/>
            <w:tcBorders>
              <w:top w:val="single" w:sz="8" w:color="DDDDDD"/>
              <w:bottom w:val="single" w:sz="8" w:color="DDDDDD"/>
            </w:tcBorders>
            <w:shd w:val="clear" w:color="auto" w:fill="DDDDDD"/>
          </w:tcPr>
          <w:p>
            <w:pPr>
              <w:spacing w:after="0"/>
              <w:rPr>
                <w:sz w:val="15"/>
                <w:szCs w:val="15"/>
                <w:color w:val="auto"/>
              </w:rPr>
            </w:pPr>
          </w:p>
        </w:tc>
        <w:tc>
          <w:tcPr>
            <w:tcW w:w="420" w:type="dxa"/>
            <w:vAlign w:val="bottom"/>
            <w:tcBorders>
              <w:top w:val="single" w:sz="8" w:color="DDDDDD"/>
              <w:bottom w:val="single" w:sz="8" w:color="DDDDDD"/>
            </w:tcBorders>
            <w:shd w:val="clear" w:color="auto" w:fill="DDDDDD"/>
          </w:tcPr>
          <w:p>
            <w:pPr>
              <w:jc w:val="right"/>
              <w:ind w:right="190"/>
              <w:spacing w:after="0" w:line="182" w:lineRule="exact"/>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DDDDDD"/>
              <w:bottom w:val="single" w:sz="8" w:color="DDDDDD"/>
            </w:tcBorders>
            <w:shd w:val="clear" w:color="auto" w:fill="DDDDDD"/>
          </w:tcPr>
          <w:p>
            <w:pPr>
              <w:spacing w:after="0"/>
              <w:rPr>
                <w:sz w:val="15"/>
                <w:szCs w:val="15"/>
                <w:color w:val="auto"/>
              </w:rPr>
            </w:pPr>
          </w:p>
        </w:tc>
        <w:tc>
          <w:tcPr>
            <w:tcW w:w="20" w:type="dxa"/>
            <w:vAlign w:val="bottom"/>
            <w:tcBorders>
              <w:top w:val="single" w:sz="8" w:color="DDDDDD"/>
              <w:bottom w:val="single" w:sz="8" w:color="DDDDDD"/>
            </w:tcBorders>
            <w:shd w:val="clear" w:color="auto" w:fill="DDDDDD"/>
          </w:tcPr>
          <w:p>
            <w:pPr>
              <w:spacing w:after="0"/>
              <w:rPr>
                <w:sz w:val="15"/>
                <w:szCs w:val="15"/>
                <w:color w:val="auto"/>
              </w:rPr>
            </w:pPr>
          </w:p>
        </w:tc>
        <w:tc>
          <w:tcPr>
            <w:tcW w:w="60" w:type="dxa"/>
            <w:vAlign w:val="bottom"/>
            <w:tcBorders>
              <w:top w:val="single" w:sz="8" w:color="DDDDDD"/>
              <w:bottom w:val="single" w:sz="8" w:color="DDDDDD"/>
            </w:tcBorders>
            <w:shd w:val="clear" w:color="auto" w:fill="DDDDDD"/>
          </w:tcPr>
          <w:p>
            <w:pPr>
              <w:spacing w:after="0"/>
              <w:rPr>
                <w:sz w:val="15"/>
                <w:szCs w:val="15"/>
                <w:color w:val="auto"/>
              </w:rPr>
            </w:pPr>
          </w:p>
        </w:tc>
        <w:tc>
          <w:tcPr>
            <w:tcW w:w="20" w:type="dxa"/>
            <w:vAlign w:val="bottom"/>
            <w:tcBorders>
              <w:top w:val="single" w:sz="8" w:color="DDDDDD"/>
              <w:bottom w:val="single" w:sz="8" w:color="DDDDDD"/>
            </w:tcBorders>
            <w:shd w:val="clear" w:color="auto" w:fill="DDDDDD"/>
          </w:tcPr>
          <w:p>
            <w:pPr>
              <w:spacing w:after="0"/>
              <w:rPr>
                <w:sz w:val="15"/>
                <w:szCs w:val="15"/>
                <w:color w:val="auto"/>
              </w:rPr>
            </w:pPr>
          </w:p>
        </w:tc>
        <w:tc>
          <w:tcPr>
            <w:tcW w:w="9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4.20</w:t>
            </w:r>
          </w:p>
        </w:tc>
        <w:tc>
          <w:tcPr>
            <w:tcW w:w="16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80" w:type="dxa"/>
            <w:vAlign w:val="bottom"/>
            <w:tcBorders>
              <w:top w:val="single" w:sz="8" w:color="DDDDDD"/>
              <w:bottom w:val="single" w:sz="8" w:color="DDDDDD"/>
            </w:tcBorders>
            <w:shd w:val="clear" w:color="auto" w:fill="DDDDDD"/>
          </w:tcPr>
          <w:p>
            <w:pPr>
              <w:spacing w:after="0"/>
              <w:rPr>
                <w:sz w:val="15"/>
                <w:szCs w:val="15"/>
                <w:color w:val="auto"/>
              </w:rPr>
            </w:pPr>
          </w:p>
        </w:tc>
        <w:tc>
          <w:tcPr>
            <w:tcW w:w="80" w:type="dxa"/>
            <w:vAlign w:val="bottom"/>
            <w:tcBorders>
              <w:top w:val="single" w:sz="8" w:color="DDDDDD"/>
              <w:bottom w:val="single" w:sz="8" w:color="DDDDDD"/>
            </w:tcBorders>
            <w:shd w:val="clear" w:color="auto" w:fill="DDDDDD"/>
          </w:tcPr>
          <w:p>
            <w:pPr>
              <w:spacing w:after="0"/>
              <w:rPr>
                <w:sz w:val="15"/>
                <w:szCs w:val="15"/>
                <w:color w:val="auto"/>
              </w:rPr>
            </w:pPr>
          </w:p>
        </w:tc>
        <w:tc>
          <w:tcPr>
            <w:tcW w:w="92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0.62</w:t>
            </w:r>
          </w:p>
        </w:tc>
        <w:tc>
          <w:tcPr>
            <w:tcW w:w="20" w:type="dxa"/>
            <w:vAlign w:val="bottom"/>
            <w:tcBorders>
              <w:top w:val="single" w:sz="8" w:color="DDDDDD"/>
              <w:bottom w:val="single" w:sz="8" w:color="DDDDDD"/>
            </w:tcBorders>
            <w:shd w:val="clear" w:color="auto" w:fill="DDDDDD"/>
          </w:tcPr>
          <w:p>
            <w:pPr>
              <w:spacing w:after="0"/>
              <w:rPr>
                <w:sz w:val="15"/>
                <w:szCs w:val="15"/>
                <w:color w:val="auto"/>
              </w:rPr>
            </w:pPr>
          </w:p>
        </w:tc>
        <w:tc>
          <w:tcPr>
            <w:tcW w:w="14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160" w:type="dxa"/>
            <w:vAlign w:val="bottom"/>
            <w:tcBorders>
              <w:top w:val="single" w:sz="8" w:color="DDDDDD"/>
              <w:bottom w:val="single" w:sz="8" w:color="DDDDDD"/>
            </w:tcBorders>
            <w:shd w:val="clear" w:color="auto" w:fill="DDDDDD"/>
          </w:tcPr>
          <w:p>
            <w:pPr>
              <w:spacing w:after="0"/>
              <w:rPr>
                <w:sz w:val="15"/>
                <w:szCs w:val="15"/>
                <w:color w:val="auto"/>
              </w:rPr>
            </w:pPr>
          </w:p>
        </w:tc>
        <w:tc>
          <w:tcPr>
            <w:tcW w:w="92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0.21</w:t>
            </w:r>
          </w:p>
        </w:tc>
        <w:tc>
          <w:tcPr>
            <w:tcW w:w="22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highlight w:val="lightGray"/>
              </w:rPr>
              <w:t>%</w:t>
            </w:r>
          </w:p>
        </w:tc>
        <w:tc>
          <w:tcPr>
            <w:tcW w:w="20" w:type="dxa"/>
            <w:vAlign w:val="bottom"/>
            <w:tcBorders>
              <w:top w:val="single" w:sz="8" w:color="DDDDDD"/>
              <w:bottom w:val="single" w:sz="8" w:color="DDDDDD"/>
            </w:tcBorders>
            <w:shd w:val="clear" w:color="auto" w:fill="DDDDDD"/>
          </w:tcPr>
          <w:p>
            <w:pPr>
              <w:spacing w:after="0"/>
              <w:rPr>
                <w:sz w:val="15"/>
                <w:szCs w:val="15"/>
                <w:color w:val="auto"/>
              </w:rPr>
            </w:pPr>
          </w:p>
        </w:tc>
        <w:tc>
          <w:tcPr>
            <w:tcW w:w="60" w:type="dxa"/>
            <w:vAlign w:val="bottom"/>
            <w:tcBorders>
              <w:top w:val="single" w:sz="8" w:color="DDDDDD"/>
              <w:bottom w:val="single" w:sz="8" w:color="DDDDDD"/>
            </w:tcBorders>
            <w:shd w:val="clear" w:color="auto" w:fill="DDDDDD"/>
          </w:tcPr>
          <w:p>
            <w:pPr>
              <w:spacing w:after="0"/>
              <w:rPr>
                <w:sz w:val="15"/>
                <w:szCs w:val="15"/>
                <w:color w:val="auto"/>
              </w:rPr>
            </w:pPr>
          </w:p>
        </w:tc>
        <w:tc>
          <w:tcPr>
            <w:tcW w:w="80" w:type="dxa"/>
            <w:vAlign w:val="bottom"/>
            <w:tcBorders>
              <w:top w:val="single" w:sz="8" w:color="DDDDDD"/>
              <w:bottom w:val="single" w:sz="8" w:color="DDDDDD"/>
            </w:tcBorders>
            <w:shd w:val="clear" w:color="auto" w:fill="DDDDDD"/>
          </w:tcPr>
          <w:p>
            <w:pPr>
              <w:spacing w:after="0"/>
              <w:rPr>
                <w:sz w:val="15"/>
                <w:szCs w:val="15"/>
                <w:color w:val="auto"/>
              </w:rPr>
            </w:pPr>
          </w:p>
        </w:tc>
        <w:tc>
          <w:tcPr>
            <w:tcW w:w="20" w:type="dxa"/>
            <w:vAlign w:val="bottom"/>
            <w:tcBorders>
              <w:top w:val="single" w:sz="8" w:color="DDDDDD"/>
              <w:bottom w:val="single" w:sz="8" w:color="DDDDDD"/>
            </w:tcBorders>
            <w:shd w:val="clear" w:color="auto" w:fill="DDDDDD"/>
          </w:tcPr>
          <w:p>
            <w:pPr>
              <w:spacing w:after="0"/>
              <w:rPr>
                <w:sz w:val="15"/>
                <w:szCs w:val="15"/>
                <w:color w:val="auto"/>
              </w:rPr>
            </w:pPr>
          </w:p>
        </w:tc>
        <w:tc>
          <w:tcPr>
            <w:tcW w:w="9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0.15</w:t>
            </w:r>
          </w:p>
        </w:tc>
        <w:tc>
          <w:tcPr>
            <w:tcW w:w="22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highlight w:val="lightGray"/>
              </w:rPr>
              <w:t>%</w:t>
            </w:r>
          </w:p>
        </w:tc>
        <w:tc>
          <w:tcPr>
            <w:tcW w:w="180" w:type="dxa"/>
            <w:vAlign w:val="bottom"/>
            <w:tcBorders>
              <w:top w:val="single" w:sz="8" w:color="DDDDDD"/>
              <w:bottom w:val="single" w:sz="8" w:color="DDDDDD"/>
            </w:tcBorders>
            <w:shd w:val="clear" w:color="auto" w:fill="DDDDDD"/>
          </w:tcPr>
          <w:p>
            <w:pPr>
              <w:spacing w:after="0"/>
              <w:rPr>
                <w:sz w:val="15"/>
                <w:szCs w:val="15"/>
                <w:color w:val="auto"/>
              </w:rPr>
            </w:pPr>
          </w:p>
        </w:tc>
        <w:tc>
          <w:tcPr>
            <w:tcW w:w="91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(0.26</w:t>
            </w:r>
          </w:p>
        </w:tc>
        <w:tc>
          <w:tcPr>
            <w:tcW w:w="210" w:type="dxa"/>
            <w:vAlign w:val="bottom"/>
            <w:tcBorders>
              <w:top w:val="single" w:sz="8" w:color="DDDDDD"/>
              <w:bottom w:val="single" w:sz="8" w:color="DDDDDD"/>
            </w:tcBorders>
            <w:shd w:val="clear" w:color="auto" w:fill="DDDDDD"/>
          </w:tcPr>
          <w:p>
            <w:pPr>
              <w:ind w:left="10"/>
              <w:spacing w:after="0" w:line="182" w:lineRule="exact"/>
              <w:rPr>
                <w:sz w:val="20"/>
                <w:szCs w:val="20"/>
                <w:color w:val="auto"/>
              </w:rPr>
            </w:pPr>
            <w:r>
              <w:rPr>
                <w:rFonts w:ascii="Times New Roman" w:cs="Times New Roman" w:eastAsia="Times New Roman" w:hAnsi="Times New Roman"/>
                <w:sz w:val="18"/>
                <w:szCs w:val="18"/>
                <w:color w:val="auto"/>
                <w:highlight w:val="lightGray"/>
                <w:w w:val="85"/>
              </w:rPr>
              <w:t>)%</w:t>
            </w:r>
          </w:p>
        </w:tc>
        <w:tc>
          <w:tcPr>
            <w:tcW w:w="0" w:type="dxa"/>
            <w:vAlign w:val="bottom"/>
          </w:tcPr>
          <w:p>
            <w:pPr>
              <w:spacing w:after="0"/>
              <w:rPr>
                <w:sz w:val="1"/>
                <w:szCs w:val="1"/>
                <w:color w:val="auto"/>
              </w:rPr>
            </w:pPr>
          </w:p>
        </w:tc>
      </w:tr>
      <w:tr>
        <w:trPr>
          <w:trHeight w:val="202"/>
        </w:trPr>
        <w:tc>
          <w:tcPr>
            <w:tcW w:w="3000" w:type="dxa"/>
            <w:vAlign w:val="bottom"/>
            <w:tcBorders>
              <w:bottom w:val="single" w:sz="8" w:color="DDDDDD"/>
            </w:tcBorders>
            <w:gridSpan w:val="3"/>
          </w:tcPr>
          <w:p>
            <w:pPr>
              <w:spacing w:after="0" w:line="202" w:lineRule="exact"/>
              <w:rPr>
                <w:sz w:val="20"/>
                <w:szCs w:val="20"/>
                <w:color w:val="auto"/>
              </w:rPr>
            </w:pPr>
            <w:r>
              <w:rPr>
                <w:rFonts w:ascii="Times New Roman" w:cs="Times New Roman" w:eastAsia="Times New Roman" w:hAnsi="Times New Roman"/>
                <w:sz w:val="18"/>
                <w:szCs w:val="18"/>
                <w:color w:val="auto"/>
              </w:rPr>
              <w:t>September 30, 2025</w:t>
            </w:r>
          </w:p>
        </w:tc>
        <w:tc>
          <w:tcPr>
            <w:tcW w:w="1440" w:type="dxa"/>
            <w:vAlign w:val="bottom"/>
            <w:tcBorders>
              <w:bottom w:val="single" w:sz="8" w:color="DDDDDD"/>
            </w:tcBorders>
            <w:gridSpan w:val="4"/>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rPr>
              <w:t>4.31 %</w:t>
            </w:r>
          </w:p>
        </w:tc>
        <w:tc>
          <w:tcPr>
            <w:tcW w:w="60" w:type="dxa"/>
            <w:vAlign w:val="bottom"/>
            <w:tcBorders>
              <w:bottom w:val="single" w:sz="8" w:color="DDDDDD"/>
            </w:tcBorders>
          </w:tcPr>
          <w:p>
            <w:pPr>
              <w:spacing w:after="0"/>
              <w:rPr>
                <w:sz w:val="17"/>
                <w:szCs w:val="17"/>
                <w:color w:val="auto"/>
              </w:rPr>
            </w:pPr>
          </w:p>
        </w:tc>
        <w:tc>
          <w:tcPr>
            <w:tcW w:w="1000" w:type="dxa"/>
            <w:vAlign w:val="bottom"/>
            <w:tcBorders>
              <w:bottom w:val="single" w:sz="8" w:color="DDDDDD"/>
            </w:tcBorders>
            <w:gridSpan w:val="4"/>
          </w:tcPr>
          <w:p>
            <w:pPr>
              <w:jc w:val="right"/>
              <w:spacing w:after="0" w:line="202" w:lineRule="exact"/>
              <w:rPr>
                <w:sz w:val="20"/>
                <w:szCs w:val="20"/>
                <w:color w:val="auto"/>
              </w:rPr>
            </w:pPr>
            <w:r>
              <w:rPr>
                <w:rFonts w:ascii="Times New Roman" w:cs="Times New Roman" w:eastAsia="Times New Roman" w:hAnsi="Times New Roman"/>
                <w:sz w:val="18"/>
                <w:szCs w:val="18"/>
                <w:color w:val="auto"/>
              </w:rPr>
              <w:t>4.37</w:t>
            </w:r>
          </w:p>
        </w:tc>
        <w:tc>
          <w:tcPr>
            <w:tcW w:w="16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bottom w:val="single" w:sz="8" w:color="DDDDDD"/>
            </w:tcBorders>
          </w:tcPr>
          <w:p>
            <w:pPr>
              <w:spacing w:after="0"/>
              <w:rPr>
                <w:sz w:val="17"/>
                <w:szCs w:val="17"/>
                <w:color w:val="auto"/>
              </w:rPr>
            </w:pPr>
          </w:p>
        </w:tc>
        <w:tc>
          <w:tcPr>
            <w:tcW w:w="1160" w:type="dxa"/>
            <w:vAlign w:val="bottom"/>
            <w:tcBorders>
              <w:bottom w:val="single" w:sz="8" w:color="DDDDDD"/>
            </w:tcBorders>
            <w:gridSpan w:val="4"/>
          </w:tcPr>
          <w:p>
            <w:pPr>
              <w:jc w:val="right"/>
              <w:spacing w:after="0" w:line="202" w:lineRule="exact"/>
              <w:rPr>
                <w:sz w:val="20"/>
                <w:szCs w:val="20"/>
                <w:color w:val="auto"/>
              </w:rPr>
            </w:pPr>
            <w:r>
              <w:rPr>
                <w:rFonts w:ascii="Times New Roman" w:cs="Times New Roman" w:eastAsia="Times New Roman" w:hAnsi="Times New Roman"/>
                <w:sz w:val="18"/>
                <w:szCs w:val="18"/>
                <w:color w:val="auto"/>
              </w:rPr>
              <w:t>0.28 %</w:t>
            </w:r>
          </w:p>
        </w:tc>
        <w:tc>
          <w:tcPr>
            <w:tcW w:w="1300" w:type="dxa"/>
            <w:vAlign w:val="bottom"/>
            <w:tcBorders>
              <w:bottom w:val="single" w:sz="8" w:color="DDDDDD"/>
            </w:tcBorders>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0.22 %</w:t>
            </w:r>
          </w:p>
        </w:tc>
        <w:tc>
          <w:tcPr>
            <w:tcW w:w="1300" w:type="dxa"/>
            <w:vAlign w:val="bottom"/>
            <w:tcBorders>
              <w:bottom w:val="single" w:sz="8" w:color="DDDDDD"/>
            </w:tcBorders>
            <w:gridSpan w:val="6"/>
          </w:tcPr>
          <w:p>
            <w:pPr>
              <w:jc w:val="right"/>
              <w:spacing w:after="0" w:line="202" w:lineRule="exact"/>
              <w:rPr>
                <w:sz w:val="20"/>
                <w:szCs w:val="20"/>
                <w:color w:val="auto"/>
              </w:rPr>
            </w:pPr>
            <w:r>
              <w:rPr>
                <w:rFonts w:ascii="Times New Roman" w:cs="Times New Roman" w:eastAsia="Times New Roman" w:hAnsi="Times New Roman"/>
                <w:sz w:val="18"/>
                <w:szCs w:val="18"/>
                <w:color w:val="auto"/>
              </w:rPr>
              <w:t>(0.15 )%</w:t>
            </w:r>
          </w:p>
        </w:tc>
        <w:tc>
          <w:tcPr>
            <w:tcW w:w="180" w:type="dxa"/>
            <w:vAlign w:val="bottom"/>
            <w:tcBorders>
              <w:bottom w:val="single" w:sz="8" w:color="DDDDDD"/>
            </w:tcBorders>
          </w:tcPr>
          <w:p>
            <w:pPr>
              <w:spacing w:after="0"/>
              <w:rPr>
                <w:sz w:val="17"/>
                <w:szCs w:val="17"/>
                <w:color w:val="auto"/>
              </w:rPr>
            </w:pPr>
          </w:p>
        </w:tc>
        <w:tc>
          <w:tcPr>
            <w:tcW w:w="1120" w:type="dxa"/>
            <w:vAlign w:val="bottom"/>
            <w:tcBorders>
              <w:bottom w:val="single" w:sz="8" w:color="DDDDDD"/>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(0.21 )%</w:t>
            </w:r>
          </w:p>
        </w:tc>
        <w:tc>
          <w:tcPr>
            <w:tcW w:w="0" w:type="dxa"/>
            <w:vAlign w:val="bottom"/>
          </w:tcPr>
          <w:p>
            <w:pPr>
              <w:spacing w:after="0"/>
              <w:rPr>
                <w:sz w:val="1"/>
                <w:szCs w:val="1"/>
                <w:color w:val="auto"/>
              </w:rPr>
            </w:pPr>
          </w:p>
        </w:tc>
      </w:tr>
      <w:tr>
        <w:trPr>
          <w:trHeight w:val="191"/>
        </w:trPr>
        <w:tc>
          <w:tcPr>
            <w:tcW w:w="292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June 30, 2025</w:t>
            </w:r>
          </w:p>
        </w:tc>
        <w:tc>
          <w:tcPr>
            <w:tcW w:w="20" w:type="dxa"/>
            <w:vAlign w:val="bottom"/>
            <w:tcBorders>
              <w:bottom w:val="single" w:sz="8" w:color="DDDDDD"/>
            </w:tcBorders>
            <w:shd w:val="clear" w:color="auto" w:fill="DDDDDD"/>
          </w:tcPr>
          <w:p>
            <w:pPr>
              <w:spacing w:after="0"/>
              <w:rPr>
                <w:sz w:val="16"/>
                <w:szCs w:val="16"/>
                <w:color w:val="auto"/>
              </w:rPr>
            </w:pPr>
          </w:p>
        </w:tc>
        <w:tc>
          <w:tcPr>
            <w:tcW w:w="6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0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4.32</w:t>
            </w:r>
          </w:p>
        </w:tc>
        <w:tc>
          <w:tcPr>
            <w:tcW w:w="20" w:type="dxa"/>
            <w:vAlign w:val="bottom"/>
            <w:tcBorders>
              <w:bottom w:val="single" w:sz="8" w:color="DDDDDD"/>
            </w:tcBorders>
            <w:shd w:val="clear" w:color="auto" w:fill="DDDDDD"/>
          </w:tcPr>
          <w:p>
            <w:pPr>
              <w:spacing w:after="0"/>
              <w:rPr>
                <w:sz w:val="16"/>
                <w:szCs w:val="16"/>
                <w:color w:val="auto"/>
              </w:rPr>
            </w:pPr>
          </w:p>
        </w:tc>
        <w:tc>
          <w:tcPr>
            <w:tcW w:w="420" w:type="dxa"/>
            <w:vAlign w:val="bottom"/>
            <w:tcBorders>
              <w:bottom w:val="single" w:sz="8" w:color="DDDDDD"/>
            </w:tcBorders>
            <w:shd w:val="clear" w:color="auto" w:fill="DDDDDD"/>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bottom w:val="single" w:sz="8" w:color="DDDDDD"/>
            </w:tcBorders>
            <w:shd w:val="clear" w:color="auto" w:fill="DDDDDD"/>
          </w:tcPr>
          <w:p>
            <w:pPr>
              <w:spacing w:after="0"/>
              <w:rPr>
                <w:sz w:val="16"/>
                <w:szCs w:val="16"/>
                <w:color w:val="auto"/>
              </w:rPr>
            </w:pPr>
          </w:p>
        </w:tc>
        <w:tc>
          <w:tcPr>
            <w:tcW w:w="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gridSpan w:val="2"/>
            <w:shd w:val="clear" w:color="auto" w:fill="DDDDDD"/>
          </w:tcPr>
          <w:p>
            <w:pPr>
              <w:spacing w:after="0"/>
              <w:rPr>
                <w:sz w:val="16"/>
                <w:szCs w:val="16"/>
                <w:color w:val="auto"/>
              </w:rPr>
            </w:pPr>
          </w:p>
        </w:tc>
        <w:tc>
          <w:tcPr>
            <w:tcW w:w="90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4.37</w:t>
            </w:r>
          </w:p>
        </w:tc>
        <w:tc>
          <w:tcPr>
            <w:tcW w:w="1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8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92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0.07</w:t>
            </w:r>
          </w:p>
        </w:tc>
        <w:tc>
          <w:tcPr>
            <w:tcW w:w="20" w:type="dxa"/>
            <w:vAlign w:val="bottom"/>
            <w:tcBorders>
              <w:bottom w:val="single" w:sz="8" w:color="DDDDDD"/>
            </w:tcBorders>
            <w:shd w:val="clear" w:color="auto" w:fill="DDDDDD"/>
          </w:tcPr>
          <w:p>
            <w:pPr>
              <w:spacing w:after="0"/>
              <w:rPr>
                <w:sz w:val="16"/>
                <w:szCs w:val="16"/>
                <w:color w:val="auto"/>
              </w:rPr>
            </w:pPr>
          </w:p>
        </w:tc>
        <w:tc>
          <w:tcPr>
            <w:tcW w:w="1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160" w:type="dxa"/>
            <w:vAlign w:val="bottom"/>
            <w:tcBorders>
              <w:bottom w:val="single" w:sz="8" w:color="DDDDDD"/>
            </w:tcBorders>
            <w:shd w:val="clear" w:color="auto" w:fill="DDDDDD"/>
          </w:tcPr>
          <w:p>
            <w:pPr>
              <w:spacing w:after="0"/>
              <w:rPr>
                <w:sz w:val="16"/>
                <w:szCs w:val="16"/>
                <w:color w:val="auto"/>
              </w:rPr>
            </w:pPr>
          </w:p>
        </w:tc>
        <w:tc>
          <w:tcPr>
            <w:tcW w:w="92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0.02</w:t>
            </w:r>
          </w:p>
        </w:tc>
        <w:tc>
          <w:tcPr>
            <w:tcW w:w="22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highlight w:val="lightGray"/>
              </w:rPr>
              <w:t>%</w:t>
            </w:r>
          </w:p>
        </w:tc>
        <w:tc>
          <w:tcPr>
            <w:tcW w:w="20" w:type="dxa"/>
            <w:vAlign w:val="bottom"/>
            <w:tcBorders>
              <w:bottom w:val="single" w:sz="8" w:color="DDDDDD"/>
            </w:tcBorders>
            <w:shd w:val="clear" w:color="auto" w:fill="DDDDDD"/>
          </w:tcPr>
          <w:p>
            <w:pPr>
              <w:spacing w:after="0"/>
              <w:rPr>
                <w:sz w:val="16"/>
                <w:szCs w:val="16"/>
                <w:color w:val="auto"/>
              </w:rPr>
            </w:pPr>
          </w:p>
        </w:tc>
        <w:tc>
          <w:tcPr>
            <w:tcW w:w="6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gridSpan w:val="2"/>
            <w:shd w:val="clear" w:color="auto" w:fill="DDDDDD"/>
          </w:tcPr>
          <w:p>
            <w:pPr>
              <w:spacing w:after="0"/>
              <w:rPr>
                <w:sz w:val="16"/>
                <w:szCs w:val="16"/>
                <w:color w:val="auto"/>
              </w:rPr>
            </w:pPr>
          </w:p>
        </w:tc>
        <w:tc>
          <w:tcPr>
            <w:tcW w:w="90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(0.35</w:t>
            </w:r>
          </w:p>
        </w:tc>
        <w:tc>
          <w:tcPr>
            <w:tcW w:w="22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highlight w:val="lightGray"/>
                <w:w w:val="95"/>
              </w:rPr>
              <w:t>)%</w:t>
            </w:r>
          </w:p>
        </w:tc>
        <w:tc>
          <w:tcPr>
            <w:tcW w:w="180" w:type="dxa"/>
            <w:vAlign w:val="bottom"/>
            <w:tcBorders>
              <w:bottom w:val="single" w:sz="8" w:color="DDDDDD"/>
            </w:tcBorders>
            <w:shd w:val="clear" w:color="auto" w:fill="DDDDDD"/>
          </w:tcPr>
          <w:p>
            <w:pPr>
              <w:spacing w:after="0"/>
              <w:rPr>
                <w:sz w:val="16"/>
                <w:szCs w:val="16"/>
                <w:color w:val="auto"/>
              </w:rPr>
            </w:pPr>
          </w:p>
        </w:tc>
        <w:tc>
          <w:tcPr>
            <w:tcW w:w="91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(0.40</w:t>
            </w:r>
          </w:p>
        </w:tc>
        <w:tc>
          <w:tcPr>
            <w:tcW w:w="210" w:type="dxa"/>
            <w:vAlign w:val="bottom"/>
            <w:tcBorders>
              <w:bottom w:val="single" w:sz="8" w:color="DDDDDD"/>
            </w:tcBorders>
            <w:shd w:val="clear" w:color="auto" w:fill="DDDDDD"/>
          </w:tcPr>
          <w:p>
            <w:pPr>
              <w:ind w:left="10"/>
              <w:spacing w:after="0" w:line="191" w:lineRule="exact"/>
              <w:rPr>
                <w:sz w:val="20"/>
                <w:szCs w:val="20"/>
                <w:color w:val="auto"/>
              </w:rPr>
            </w:pPr>
            <w:r>
              <w:rPr>
                <w:rFonts w:ascii="Times New Roman" w:cs="Times New Roman" w:eastAsia="Times New Roman" w:hAnsi="Times New Roman"/>
                <w:sz w:val="18"/>
                <w:szCs w:val="18"/>
                <w:color w:val="auto"/>
                <w:highlight w:val="lightGray"/>
                <w:w w:val="85"/>
              </w:rPr>
              <w:t>)%</w:t>
            </w:r>
          </w:p>
        </w:tc>
        <w:tc>
          <w:tcPr>
            <w:tcW w:w="0" w:type="dxa"/>
            <w:vAlign w:val="bottom"/>
          </w:tcPr>
          <w:p>
            <w:pPr>
              <w:spacing w:after="0"/>
              <w:rPr>
                <w:sz w:val="1"/>
                <w:szCs w:val="1"/>
                <w:color w:val="auto"/>
              </w:rPr>
            </w:pPr>
          </w:p>
        </w:tc>
      </w:tr>
      <w:tr>
        <w:trPr>
          <w:trHeight w:val="202"/>
        </w:trPr>
        <w:tc>
          <w:tcPr>
            <w:tcW w:w="3000" w:type="dxa"/>
            <w:vAlign w:val="bottom"/>
            <w:tcBorders>
              <w:bottom w:val="single" w:sz="8" w:color="DDDDDD"/>
            </w:tcBorders>
            <w:gridSpan w:val="3"/>
          </w:tcPr>
          <w:p>
            <w:pPr>
              <w:spacing w:after="0" w:line="202" w:lineRule="exact"/>
              <w:rPr>
                <w:sz w:val="20"/>
                <w:szCs w:val="20"/>
                <w:color w:val="auto"/>
              </w:rPr>
            </w:pPr>
            <w:r>
              <w:rPr>
                <w:rFonts w:ascii="Times New Roman" w:cs="Times New Roman" w:eastAsia="Times New Roman" w:hAnsi="Times New Roman"/>
                <w:sz w:val="18"/>
                <w:szCs w:val="18"/>
                <w:color w:val="auto"/>
              </w:rPr>
              <w:t>March 31, 2025</w:t>
            </w:r>
          </w:p>
        </w:tc>
        <w:tc>
          <w:tcPr>
            <w:tcW w:w="1440" w:type="dxa"/>
            <w:vAlign w:val="bottom"/>
            <w:tcBorders>
              <w:bottom w:val="single" w:sz="8" w:color="DDDDDD"/>
            </w:tcBorders>
            <w:gridSpan w:val="4"/>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rPr>
              <w:t>4.33 %</w:t>
            </w:r>
          </w:p>
        </w:tc>
        <w:tc>
          <w:tcPr>
            <w:tcW w:w="60" w:type="dxa"/>
            <w:vAlign w:val="bottom"/>
            <w:tcBorders>
              <w:bottom w:val="single" w:sz="8" w:color="DDDDDD"/>
            </w:tcBorders>
          </w:tcPr>
          <w:p>
            <w:pPr>
              <w:spacing w:after="0"/>
              <w:rPr>
                <w:sz w:val="17"/>
                <w:szCs w:val="17"/>
                <w:color w:val="auto"/>
              </w:rPr>
            </w:pPr>
          </w:p>
        </w:tc>
        <w:tc>
          <w:tcPr>
            <w:tcW w:w="1000" w:type="dxa"/>
            <w:vAlign w:val="bottom"/>
            <w:tcBorders>
              <w:bottom w:val="single" w:sz="8" w:color="DDDDDD"/>
            </w:tcBorders>
            <w:gridSpan w:val="4"/>
          </w:tcPr>
          <w:p>
            <w:pPr>
              <w:jc w:val="right"/>
              <w:spacing w:after="0" w:line="202" w:lineRule="exact"/>
              <w:rPr>
                <w:sz w:val="20"/>
                <w:szCs w:val="20"/>
                <w:color w:val="auto"/>
              </w:rPr>
            </w:pPr>
            <w:r>
              <w:rPr>
                <w:rFonts w:ascii="Times New Roman" w:cs="Times New Roman" w:eastAsia="Times New Roman" w:hAnsi="Times New Roman"/>
                <w:sz w:val="18"/>
                <w:szCs w:val="18"/>
                <w:color w:val="auto"/>
              </w:rPr>
              <w:t>4.55</w:t>
            </w:r>
          </w:p>
        </w:tc>
        <w:tc>
          <w:tcPr>
            <w:tcW w:w="16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bottom w:val="single" w:sz="8" w:color="DDDDDD"/>
            </w:tcBorders>
          </w:tcPr>
          <w:p>
            <w:pPr>
              <w:spacing w:after="0"/>
              <w:rPr>
                <w:sz w:val="17"/>
                <w:szCs w:val="17"/>
                <w:color w:val="auto"/>
              </w:rPr>
            </w:pPr>
          </w:p>
        </w:tc>
        <w:tc>
          <w:tcPr>
            <w:tcW w:w="1160" w:type="dxa"/>
            <w:vAlign w:val="bottom"/>
            <w:tcBorders>
              <w:bottom w:val="single" w:sz="8" w:color="DDDDDD"/>
            </w:tcBorders>
            <w:gridSpan w:val="4"/>
          </w:tcPr>
          <w:p>
            <w:pPr>
              <w:jc w:val="right"/>
              <w:spacing w:after="0" w:line="202" w:lineRule="exact"/>
              <w:rPr>
                <w:sz w:val="20"/>
                <w:szCs w:val="20"/>
                <w:color w:val="auto"/>
              </w:rPr>
            </w:pPr>
            <w:r>
              <w:rPr>
                <w:rFonts w:ascii="Times New Roman" w:cs="Times New Roman" w:eastAsia="Times New Roman" w:hAnsi="Times New Roman"/>
                <w:sz w:val="18"/>
                <w:szCs w:val="18"/>
                <w:color w:val="auto"/>
              </w:rPr>
              <w:t>0.16 %</w:t>
            </w:r>
          </w:p>
        </w:tc>
        <w:tc>
          <w:tcPr>
            <w:tcW w:w="1300" w:type="dxa"/>
            <w:vAlign w:val="bottom"/>
            <w:tcBorders>
              <w:bottom w:val="single" w:sz="8" w:color="DDDDDD"/>
            </w:tcBorders>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(0.06 )%</w:t>
            </w:r>
          </w:p>
        </w:tc>
        <w:tc>
          <w:tcPr>
            <w:tcW w:w="1080" w:type="dxa"/>
            <w:vAlign w:val="bottom"/>
            <w:tcBorders>
              <w:bottom w:val="single" w:sz="8" w:color="DDDDDD"/>
            </w:tcBorders>
            <w:gridSpan w:val="5"/>
          </w:tcPr>
          <w:p>
            <w:pPr>
              <w:jc w:val="right"/>
              <w:spacing w:after="0" w:line="202" w:lineRule="exact"/>
              <w:rPr>
                <w:sz w:val="20"/>
                <w:szCs w:val="20"/>
                <w:color w:val="auto"/>
              </w:rPr>
            </w:pPr>
            <w:r>
              <w:rPr>
                <w:rFonts w:ascii="Times New Roman" w:cs="Times New Roman" w:eastAsia="Times New Roman" w:hAnsi="Times New Roman"/>
                <w:sz w:val="18"/>
                <w:szCs w:val="18"/>
                <w:color w:val="auto"/>
              </w:rPr>
              <w:t>(0.20</w:t>
            </w:r>
          </w:p>
        </w:tc>
        <w:tc>
          <w:tcPr>
            <w:tcW w:w="220" w:type="dxa"/>
            <w:vAlign w:val="bottom"/>
            <w:tcBorders>
              <w:bottom w:val="single" w:sz="8" w:color="DDDDDD"/>
            </w:tcBorders>
          </w:tcPr>
          <w:p>
            <w:pPr>
              <w:spacing w:after="0" w:line="202" w:lineRule="exact"/>
              <w:rPr>
                <w:sz w:val="20"/>
                <w:szCs w:val="20"/>
                <w:color w:val="auto"/>
              </w:rPr>
            </w:pPr>
            <w:r>
              <w:rPr>
                <w:rFonts w:ascii="Times New Roman" w:cs="Times New Roman" w:eastAsia="Times New Roman" w:hAnsi="Times New Roman"/>
                <w:sz w:val="18"/>
                <w:szCs w:val="18"/>
                <w:color w:val="auto"/>
                <w:w w:val="95"/>
              </w:rPr>
              <w:t>)%</w:t>
            </w:r>
          </w:p>
        </w:tc>
        <w:tc>
          <w:tcPr>
            <w:tcW w:w="180" w:type="dxa"/>
            <w:vAlign w:val="bottom"/>
            <w:tcBorders>
              <w:bottom w:val="single" w:sz="8" w:color="DDDDDD"/>
            </w:tcBorders>
          </w:tcPr>
          <w:p>
            <w:pPr>
              <w:spacing w:after="0"/>
              <w:rPr>
                <w:sz w:val="17"/>
                <w:szCs w:val="17"/>
                <w:color w:val="auto"/>
              </w:rPr>
            </w:pPr>
          </w:p>
        </w:tc>
        <w:tc>
          <w:tcPr>
            <w:tcW w:w="1120" w:type="dxa"/>
            <w:vAlign w:val="bottom"/>
            <w:tcBorders>
              <w:bottom w:val="single" w:sz="8" w:color="DDDDDD"/>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(0.42 )%</w:t>
            </w:r>
          </w:p>
        </w:tc>
        <w:tc>
          <w:tcPr>
            <w:tcW w:w="0" w:type="dxa"/>
            <w:vAlign w:val="bottom"/>
          </w:tcPr>
          <w:p>
            <w:pPr>
              <w:spacing w:after="0"/>
              <w:rPr>
                <w:sz w:val="1"/>
                <w:szCs w:val="1"/>
                <w:color w:val="auto"/>
              </w:rPr>
            </w:pPr>
          </w:p>
        </w:tc>
      </w:tr>
      <w:tr>
        <w:trPr>
          <w:trHeight w:val="192"/>
        </w:trPr>
        <w:tc>
          <w:tcPr>
            <w:tcW w:w="2920" w:type="dxa"/>
            <w:vAlign w:val="bottom"/>
            <w:tcBorders>
              <w:bottom w:val="single" w:sz="8" w:color="DDDDDD"/>
            </w:tcBorders>
            <w:shd w:val="clear" w:color="auto" w:fill="DDDDDD"/>
          </w:tcPr>
          <w:p>
            <w:pPr>
              <w:spacing w:after="0" w:line="193" w:lineRule="exact"/>
              <w:rPr>
                <w:sz w:val="20"/>
                <w:szCs w:val="20"/>
                <w:color w:val="auto"/>
              </w:rPr>
            </w:pPr>
            <w:r>
              <w:rPr>
                <w:rFonts w:ascii="Times New Roman" w:cs="Times New Roman" w:eastAsia="Times New Roman" w:hAnsi="Times New Roman"/>
                <w:sz w:val="18"/>
                <w:szCs w:val="18"/>
                <w:color w:val="auto"/>
              </w:rPr>
              <w:t>December 31, 2024</w:t>
            </w:r>
          </w:p>
        </w:tc>
        <w:tc>
          <w:tcPr>
            <w:tcW w:w="20" w:type="dxa"/>
            <w:vAlign w:val="bottom"/>
            <w:tcBorders>
              <w:bottom w:val="single" w:sz="8" w:color="DDDDDD"/>
            </w:tcBorders>
            <w:shd w:val="clear" w:color="auto" w:fill="DDDDDD"/>
          </w:tcPr>
          <w:p>
            <w:pPr>
              <w:spacing w:after="0"/>
              <w:rPr>
                <w:sz w:val="16"/>
                <w:szCs w:val="16"/>
                <w:color w:val="auto"/>
              </w:rPr>
            </w:pPr>
          </w:p>
        </w:tc>
        <w:tc>
          <w:tcPr>
            <w:tcW w:w="6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0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4.53</w:t>
            </w:r>
          </w:p>
        </w:tc>
        <w:tc>
          <w:tcPr>
            <w:tcW w:w="20" w:type="dxa"/>
            <w:vAlign w:val="bottom"/>
            <w:tcBorders>
              <w:bottom w:val="single" w:sz="8" w:color="DDDDDD"/>
            </w:tcBorders>
            <w:shd w:val="clear" w:color="auto" w:fill="DDDDDD"/>
          </w:tcPr>
          <w:p>
            <w:pPr>
              <w:spacing w:after="0"/>
              <w:rPr>
                <w:sz w:val="16"/>
                <w:szCs w:val="16"/>
                <w:color w:val="auto"/>
              </w:rPr>
            </w:pPr>
          </w:p>
        </w:tc>
        <w:tc>
          <w:tcPr>
            <w:tcW w:w="420" w:type="dxa"/>
            <w:vAlign w:val="bottom"/>
            <w:tcBorders>
              <w:bottom w:val="single" w:sz="8" w:color="DDDDDD"/>
            </w:tcBorders>
            <w:shd w:val="clear" w:color="auto" w:fill="DDDDDD"/>
          </w:tcPr>
          <w:p>
            <w:pPr>
              <w:jc w:val="right"/>
              <w:ind w:right="190"/>
              <w:spacing w:after="0" w:line="193" w:lineRule="exact"/>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bottom w:val="single" w:sz="8" w:color="DDDDDD"/>
            </w:tcBorders>
            <w:shd w:val="clear" w:color="auto" w:fill="DDDDDD"/>
          </w:tcPr>
          <w:p>
            <w:pPr>
              <w:spacing w:after="0"/>
              <w:rPr>
                <w:sz w:val="16"/>
                <w:szCs w:val="16"/>
                <w:color w:val="auto"/>
              </w:rPr>
            </w:pPr>
          </w:p>
        </w:tc>
        <w:tc>
          <w:tcPr>
            <w:tcW w:w="20" w:type="dxa"/>
            <w:vAlign w:val="bottom"/>
            <w:tcBorders>
              <w:bottom w:val="single" w:sz="8" w:color="DDDDDD"/>
            </w:tcBorders>
            <w:shd w:val="clear" w:color="auto" w:fill="DDDDDD"/>
          </w:tcPr>
          <w:p>
            <w:pPr>
              <w:spacing w:after="0"/>
              <w:rPr>
                <w:sz w:val="16"/>
                <w:szCs w:val="16"/>
                <w:color w:val="auto"/>
              </w:rPr>
            </w:pPr>
          </w:p>
        </w:tc>
        <w:tc>
          <w:tcPr>
            <w:tcW w:w="60" w:type="dxa"/>
            <w:vAlign w:val="bottom"/>
            <w:tcBorders>
              <w:bottom w:val="single" w:sz="8" w:color="DDDDDD"/>
            </w:tcBorders>
            <w:shd w:val="clear" w:color="auto" w:fill="DDDDDD"/>
          </w:tcPr>
          <w:p>
            <w:pPr>
              <w:spacing w:after="0"/>
              <w:rPr>
                <w:sz w:val="16"/>
                <w:szCs w:val="16"/>
                <w:color w:val="auto"/>
              </w:rPr>
            </w:pPr>
          </w:p>
        </w:tc>
        <w:tc>
          <w:tcPr>
            <w:tcW w:w="20" w:type="dxa"/>
            <w:vAlign w:val="bottom"/>
            <w:tcBorders>
              <w:bottom w:val="single" w:sz="8" w:color="DDDDDD"/>
            </w:tcBorders>
            <w:shd w:val="clear" w:color="auto" w:fill="DDDDDD"/>
          </w:tcPr>
          <w:p>
            <w:pPr>
              <w:spacing w:after="0"/>
              <w:rPr>
                <w:sz w:val="16"/>
                <w:szCs w:val="16"/>
                <w:color w:val="auto"/>
              </w:rPr>
            </w:pPr>
          </w:p>
        </w:tc>
        <w:tc>
          <w:tcPr>
            <w:tcW w:w="90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5.03</w:t>
            </w:r>
          </w:p>
        </w:tc>
        <w:tc>
          <w:tcPr>
            <w:tcW w:w="16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8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92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0.34</w:t>
            </w:r>
          </w:p>
        </w:tc>
        <w:tc>
          <w:tcPr>
            <w:tcW w:w="20" w:type="dxa"/>
            <w:vAlign w:val="bottom"/>
            <w:tcBorders>
              <w:bottom w:val="single" w:sz="8" w:color="DDDDDD"/>
            </w:tcBorders>
            <w:shd w:val="clear" w:color="auto" w:fill="DDDDDD"/>
          </w:tcPr>
          <w:p>
            <w:pPr>
              <w:spacing w:after="0"/>
              <w:rPr>
                <w:sz w:val="16"/>
                <w:szCs w:val="16"/>
                <w:color w:val="auto"/>
              </w:rPr>
            </w:pPr>
          </w:p>
        </w:tc>
        <w:tc>
          <w:tcPr>
            <w:tcW w:w="14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160" w:type="dxa"/>
            <w:vAlign w:val="bottom"/>
            <w:tcBorders>
              <w:bottom w:val="single" w:sz="8" w:color="DDDDDD"/>
            </w:tcBorders>
            <w:shd w:val="clear" w:color="auto" w:fill="DDDDDD"/>
          </w:tcPr>
          <w:p>
            <w:pPr>
              <w:spacing w:after="0"/>
              <w:rPr>
                <w:sz w:val="16"/>
                <w:szCs w:val="16"/>
                <w:color w:val="auto"/>
              </w:rPr>
            </w:pPr>
          </w:p>
        </w:tc>
        <w:tc>
          <w:tcPr>
            <w:tcW w:w="92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(0.16</w:t>
            </w:r>
          </w:p>
        </w:tc>
        <w:tc>
          <w:tcPr>
            <w:tcW w:w="220" w:type="dxa"/>
            <w:vAlign w:val="bottom"/>
            <w:tcBorders>
              <w:bottom w:val="single" w:sz="8" w:color="DDDDDD"/>
            </w:tcBorders>
            <w:shd w:val="clear" w:color="auto" w:fill="DDDDDD"/>
          </w:tcPr>
          <w:p>
            <w:pPr>
              <w:spacing w:after="0" w:line="193" w:lineRule="exact"/>
              <w:rPr>
                <w:sz w:val="20"/>
                <w:szCs w:val="20"/>
                <w:color w:val="auto"/>
              </w:rPr>
            </w:pPr>
            <w:r>
              <w:rPr>
                <w:rFonts w:ascii="Times New Roman" w:cs="Times New Roman" w:eastAsia="Times New Roman" w:hAnsi="Times New Roman"/>
                <w:sz w:val="18"/>
                <w:szCs w:val="18"/>
                <w:color w:val="auto"/>
                <w:highlight w:val="lightGray"/>
                <w:w w:val="95"/>
              </w:rPr>
              <w:t>)%</w:t>
            </w:r>
          </w:p>
        </w:tc>
        <w:tc>
          <w:tcPr>
            <w:tcW w:w="20" w:type="dxa"/>
            <w:vAlign w:val="bottom"/>
            <w:tcBorders>
              <w:bottom w:val="single" w:sz="8" w:color="DDDDDD"/>
            </w:tcBorders>
            <w:shd w:val="clear" w:color="auto" w:fill="DDDDDD"/>
          </w:tcPr>
          <w:p>
            <w:pPr>
              <w:spacing w:after="0"/>
              <w:rPr>
                <w:sz w:val="16"/>
                <w:szCs w:val="16"/>
                <w:color w:val="auto"/>
              </w:rPr>
            </w:pPr>
          </w:p>
        </w:tc>
        <w:tc>
          <w:tcPr>
            <w:tcW w:w="6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20" w:type="dxa"/>
            <w:vAlign w:val="bottom"/>
            <w:tcBorders>
              <w:bottom w:val="single" w:sz="8" w:color="DDDDDD"/>
            </w:tcBorders>
            <w:shd w:val="clear" w:color="auto" w:fill="DDDDDD"/>
          </w:tcPr>
          <w:p>
            <w:pPr>
              <w:spacing w:after="0"/>
              <w:rPr>
                <w:sz w:val="16"/>
                <w:szCs w:val="16"/>
                <w:color w:val="auto"/>
              </w:rPr>
            </w:pPr>
          </w:p>
        </w:tc>
        <w:tc>
          <w:tcPr>
            <w:tcW w:w="90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0.34</w:t>
            </w:r>
          </w:p>
        </w:tc>
        <w:tc>
          <w:tcPr>
            <w:tcW w:w="220" w:type="dxa"/>
            <w:vAlign w:val="bottom"/>
            <w:tcBorders>
              <w:bottom w:val="single" w:sz="8" w:color="DDDDDD"/>
            </w:tcBorders>
            <w:shd w:val="clear" w:color="auto" w:fill="DDDDDD"/>
          </w:tcPr>
          <w:p>
            <w:pPr>
              <w:spacing w:after="0" w:line="193" w:lineRule="exact"/>
              <w:rPr>
                <w:sz w:val="20"/>
                <w:szCs w:val="20"/>
                <w:color w:val="auto"/>
              </w:rPr>
            </w:pPr>
            <w:r>
              <w:rPr>
                <w:rFonts w:ascii="Times New Roman" w:cs="Times New Roman" w:eastAsia="Times New Roman" w:hAnsi="Times New Roman"/>
                <w:sz w:val="18"/>
                <w:szCs w:val="18"/>
                <w:color w:val="auto"/>
                <w:highlight w:val="lightGray"/>
              </w:rPr>
              <w:t>%</w:t>
            </w:r>
          </w:p>
        </w:tc>
        <w:tc>
          <w:tcPr>
            <w:tcW w:w="180" w:type="dxa"/>
            <w:vAlign w:val="bottom"/>
            <w:tcBorders>
              <w:bottom w:val="single" w:sz="8" w:color="DDDDDD"/>
            </w:tcBorders>
            <w:shd w:val="clear" w:color="auto" w:fill="DDDDDD"/>
          </w:tcPr>
          <w:p>
            <w:pPr>
              <w:spacing w:after="0"/>
              <w:rPr>
                <w:sz w:val="16"/>
                <w:szCs w:val="16"/>
                <w:color w:val="auto"/>
              </w:rPr>
            </w:pPr>
          </w:p>
        </w:tc>
        <w:tc>
          <w:tcPr>
            <w:tcW w:w="91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(0.16</w:t>
            </w:r>
          </w:p>
        </w:tc>
        <w:tc>
          <w:tcPr>
            <w:tcW w:w="210" w:type="dxa"/>
            <w:vAlign w:val="bottom"/>
            <w:tcBorders>
              <w:bottom w:val="single" w:sz="8" w:color="DDDDDD"/>
            </w:tcBorders>
            <w:shd w:val="clear" w:color="auto" w:fill="DDDDDD"/>
          </w:tcPr>
          <w:p>
            <w:pPr>
              <w:ind w:left="10"/>
              <w:spacing w:after="0" w:line="193" w:lineRule="exact"/>
              <w:rPr>
                <w:sz w:val="20"/>
                <w:szCs w:val="20"/>
                <w:color w:val="auto"/>
              </w:rPr>
            </w:pPr>
            <w:r>
              <w:rPr>
                <w:rFonts w:ascii="Times New Roman" w:cs="Times New Roman" w:eastAsia="Times New Roman" w:hAnsi="Times New Roman"/>
                <w:sz w:val="18"/>
                <w:szCs w:val="18"/>
                <w:color w:val="auto"/>
                <w:highlight w:val="lightGray"/>
                <w:w w:val="85"/>
              </w:rPr>
              <w:t>)%</w:t>
            </w:r>
          </w:p>
        </w:tc>
        <w:tc>
          <w:tcPr>
            <w:tcW w:w="0" w:type="dxa"/>
            <w:vAlign w:val="bottom"/>
          </w:tcPr>
          <w:p>
            <w:pPr>
              <w:spacing w:after="0"/>
              <w:rPr>
                <w:sz w:val="1"/>
                <w:szCs w:val="1"/>
                <w:color w:val="auto"/>
              </w:rPr>
            </w:pPr>
          </w:p>
        </w:tc>
      </w:tr>
      <w:tr>
        <w:trPr>
          <w:trHeight w:val="202"/>
        </w:trPr>
        <w:tc>
          <w:tcPr>
            <w:tcW w:w="3000" w:type="dxa"/>
            <w:vAlign w:val="bottom"/>
            <w:tcBorders>
              <w:bottom w:val="single" w:sz="8" w:color="DDDDDD"/>
            </w:tcBorders>
            <w:gridSpan w:val="3"/>
          </w:tcPr>
          <w:p>
            <w:pPr>
              <w:spacing w:after="0" w:line="202" w:lineRule="exact"/>
              <w:rPr>
                <w:sz w:val="20"/>
                <w:szCs w:val="20"/>
                <w:color w:val="auto"/>
              </w:rPr>
            </w:pPr>
            <w:r>
              <w:rPr>
                <w:rFonts w:ascii="Times New Roman" w:cs="Times New Roman" w:eastAsia="Times New Roman" w:hAnsi="Times New Roman"/>
                <w:sz w:val="18"/>
                <w:szCs w:val="18"/>
                <w:color w:val="auto"/>
              </w:rPr>
              <w:t>September 30, 2024</w:t>
            </w:r>
          </w:p>
        </w:tc>
        <w:tc>
          <w:tcPr>
            <w:tcW w:w="1440" w:type="dxa"/>
            <w:vAlign w:val="bottom"/>
            <w:tcBorders>
              <w:bottom w:val="single" w:sz="8" w:color="DDDDDD"/>
            </w:tcBorders>
            <w:gridSpan w:val="4"/>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rPr>
              <w:t>5.16 %</w:t>
            </w:r>
          </w:p>
        </w:tc>
        <w:tc>
          <w:tcPr>
            <w:tcW w:w="60" w:type="dxa"/>
            <w:vAlign w:val="bottom"/>
            <w:tcBorders>
              <w:bottom w:val="single" w:sz="8" w:color="DDDDDD"/>
            </w:tcBorders>
          </w:tcPr>
          <w:p>
            <w:pPr>
              <w:spacing w:after="0"/>
              <w:rPr>
                <w:sz w:val="17"/>
                <w:szCs w:val="17"/>
                <w:color w:val="auto"/>
              </w:rPr>
            </w:pPr>
          </w:p>
        </w:tc>
        <w:tc>
          <w:tcPr>
            <w:tcW w:w="1000" w:type="dxa"/>
            <w:vAlign w:val="bottom"/>
            <w:tcBorders>
              <w:bottom w:val="single" w:sz="8" w:color="DDDDDD"/>
            </w:tcBorders>
            <w:gridSpan w:val="4"/>
          </w:tcPr>
          <w:p>
            <w:pPr>
              <w:jc w:val="right"/>
              <w:spacing w:after="0" w:line="202" w:lineRule="exact"/>
              <w:rPr>
                <w:sz w:val="20"/>
                <w:szCs w:val="20"/>
                <w:color w:val="auto"/>
              </w:rPr>
            </w:pPr>
            <w:r>
              <w:rPr>
                <w:rFonts w:ascii="Times New Roman" w:cs="Times New Roman" w:eastAsia="Times New Roman" w:hAnsi="Times New Roman"/>
                <w:sz w:val="18"/>
                <w:szCs w:val="18"/>
                <w:color w:val="auto"/>
              </w:rPr>
              <w:t>5.37</w:t>
            </w:r>
          </w:p>
        </w:tc>
        <w:tc>
          <w:tcPr>
            <w:tcW w:w="16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bottom w:val="single" w:sz="8" w:color="DDDDDD"/>
            </w:tcBorders>
          </w:tcPr>
          <w:p>
            <w:pPr>
              <w:spacing w:after="0"/>
              <w:rPr>
                <w:sz w:val="17"/>
                <w:szCs w:val="17"/>
                <w:color w:val="auto"/>
              </w:rPr>
            </w:pPr>
          </w:p>
        </w:tc>
        <w:tc>
          <w:tcPr>
            <w:tcW w:w="1160" w:type="dxa"/>
            <w:vAlign w:val="bottom"/>
            <w:tcBorders>
              <w:bottom w:val="single" w:sz="8" w:color="DDDDDD"/>
            </w:tcBorders>
            <w:gridSpan w:val="4"/>
          </w:tcPr>
          <w:p>
            <w:pPr>
              <w:jc w:val="right"/>
              <w:spacing w:after="0" w:line="202" w:lineRule="exact"/>
              <w:rPr>
                <w:sz w:val="20"/>
                <w:szCs w:val="20"/>
                <w:color w:val="auto"/>
              </w:rPr>
            </w:pPr>
            <w:r>
              <w:rPr>
                <w:rFonts w:ascii="Times New Roman" w:cs="Times New Roman" w:eastAsia="Times New Roman" w:hAnsi="Times New Roman"/>
                <w:sz w:val="18"/>
                <w:szCs w:val="18"/>
                <w:color w:val="auto"/>
              </w:rPr>
              <w:t>0.45 %</w:t>
            </w:r>
          </w:p>
        </w:tc>
        <w:tc>
          <w:tcPr>
            <w:tcW w:w="1300" w:type="dxa"/>
            <w:vAlign w:val="bottom"/>
            <w:tcBorders>
              <w:bottom w:val="single" w:sz="8" w:color="DDDDDD"/>
            </w:tcBorders>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0.24 %</w:t>
            </w:r>
          </w:p>
        </w:tc>
        <w:tc>
          <w:tcPr>
            <w:tcW w:w="1300" w:type="dxa"/>
            <w:vAlign w:val="bottom"/>
            <w:tcBorders>
              <w:bottom w:val="single" w:sz="8" w:color="DDDDDD"/>
            </w:tcBorders>
            <w:gridSpan w:val="6"/>
          </w:tcPr>
          <w:p>
            <w:pPr>
              <w:jc w:val="right"/>
              <w:spacing w:after="0" w:line="202" w:lineRule="exact"/>
              <w:rPr>
                <w:sz w:val="20"/>
                <w:szCs w:val="20"/>
                <w:color w:val="auto"/>
              </w:rPr>
            </w:pPr>
            <w:r>
              <w:rPr>
                <w:rFonts w:ascii="Times New Roman" w:cs="Times New Roman" w:eastAsia="Times New Roman" w:hAnsi="Times New Roman"/>
                <w:sz w:val="18"/>
                <w:szCs w:val="18"/>
                <w:color w:val="auto"/>
              </w:rPr>
              <w:t>0.59 %</w:t>
            </w:r>
          </w:p>
        </w:tc>
        <w:tc>
          <w:tcPr>
            <w:tcW w:w="180" w:type="dxa"/>
            <w:vAlign w:val="bottom"/>
            <w:tcBorders>
              <w:bottom w:val="single" w:sz="8" w:color="DDDDDD"/>
            </w:tcBorders>
          </w:tcPr>
          <w:p>
            <w:pPr>
              <w:spacing w:after="0"/>
              <w:rPr>
                <w:sz w:val="17"/>
                <w:szCs w:val="17"/>
                <w:color w:val="auto"/>
              </w:rPr>
            </w:pPr>
          </w:p>
        </w:tc>
        <w:tc>
          <w:tcPr>
            <w:tcW w:w="1120" w:type="dxa"/>
            <w:vAlign w:val="bottom"/>
            <w:tcBorders>
              <w:bottom w:val="single" w:sz="8" w:color="DDDDDD"/>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0.38 %</w:t>
            </w:r>
          </w:p>
        </w:tc>
        <w:tc>
          <w:tcPr>
            <w:tcW w:w="0" w:type="dxa"/>
            <w:vAlign w:val="bottom"/>
          </w:tcPr>
          <w:p>
            <w:pPr>
              <w:spacing w:after="0"/>
              <w:rPr>
                <w:sz w:val="1"/>
                <w:szCs w:val="1"/>
                <w:color w:val="auto"/>
              </w:rPr>
            </w:pPr>
          </w:p>
        </w:tc>
      </w:tr>
      <w:tr>
        <w:trPr>
          <w:trHeight w:val="212"/>
        </w:trPr>
        <w:tc>
          <w:tcPr>
            <w:tcW w:w="292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June 30, 2024</w:t>
            </w:r>
          </w:p>
        </w:tc>
        <w:tc>
          <w:tcPr>
            <w:tcW w:w="20" w:type="dxa"/>
            <w:vAlign w:val="bottom"/>
            <w:tcBorders>
              <w:bottom w:val="single" w:sz="8" w:color="DDDDDD"/>
            </w:tcBorders>
            <w:shd w:val="clear" w:color="auto" w:fill="DDDDDD"/>
          </w:tcPr>
          <w:p>
            <w:pPr>
              <w:spacing w:after="0"/>
              <w:rPr>
                <w:sz w:val="18"/>
                <w:szCs w:val="18"/>
                <w:color w:val="auto"/>
              </w:rPr>
            </w:pPr>
          </w:p>
        </w:tc>
        <w:tc>
          <w:tcPr>
            <w:tcW w:w="6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90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5.34</w:t>
            </w:r>
          </w:p>
        </w:tc>
        <w:tc>
          <w:tcPr>
            <w:tcW w:w="20" w:type="dxa"/>
            <w:vAlign w:val="bottom"/>
            <w:tcBorders>
              <w:bottom w:val="single" w:sz="8" w:color="DDDDDD"/>
            </w:tcBorders>
            <w:shd w:val="clear" w:color="auto" w:fill="DDDDDD"/>
          </w:tcPr>
          <w:p>
            <w:pPr>
              <w:spacing w:after="0"/>
              <w:rPr>
                <w:sz w:val="18"/>
                <w:szCs w:val="18"/>
                <w:color w:val="auto"/>
              </w:rPr>
            </w:pPr>
          </w:p>
        </w:tc>
        <w:tc>
          <w:tcPr>
            <w:tcW w:w="420" w:type="dxa"/>
            <w:vAlign w:val="bottom"/>
            <w:tcBorders>
              <w:bottom w:val="single" w:sz="8" w:color="DDDDDD"/>
            </w:tcBorders>
            <w:shd w:val="clear" w:color="auto" w:fill="DDDDDD"/>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bottom w:val="single" w:sz="8" w:color="DDDDDD"/>
            </w:tcBorders>
            <w:shd w:val="clear" w:color="auto" w:fill="DDDDDD"/>
          </w:tcPr>
          <w:p>
            <w:pPr>
              <w:spacing w:after="0"/>
              <w:rPr>
                <w:sz w:val="18"/>
                <w:szCs w:val="18"/>
                <w:color w:val="auto"/>
              </w:rPr>
            </w:pPr>
          </w:p>
        </w:tc>
        <w:tc>
          <w:tcPr>
            <w:tcW w:w="20" w:type="dxa"/>
            <w:vAlign w:val="bottom"/>
            <w:tcBorders>
              <w:bottom w:val="single" w:sz="8" w:color="DDDDDD"/>
            </w:tcBorders>
            <w:shd w:val="clear" w:color="auto" w:fill="DDDDDD"/>
          </w:tcPr>
          <w:p>
            <w:pPr>
              <w:spacing w:after="0"/>
              <w:rPr>
                <w:sz w:val="18"/>
                <w:szCs w:val="18"/>
                <w:color w:val="auto"/>
              </w:rPr>
            </w:pPr>
          </w:p>
        </w:tc>
        <w:tc>
          <w:tcPr>
            <w:tcW w:w="80" w:type="dxa"/>
            <w:vAlign w:val="bottom"/>
            <w:tcBorders>
              <w:bottom w:val="single" w:sz="8" w:color="DDDDDD"/>
            </w:tcBorders>
            <w:gridSpan w:val="2"/>
            <w:shd w:val="clear" w:color="auto" w:fill="DDDDDD"/>
          </w:tcPr>
          <w:p>
            <w:pPr>
              <w:spacing w:after="0"/>
              <w:rPr>
                <w:sz w:val="18"/>
                <w:szCs w:val="18"/>
                <w:color w:val="auto"/>
              </w:rPr>
            </w:pPr>
          </w:p>
        </w:tc>
        <w:tc>
          <w:tcPr>
            <w:tcW w:w="90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5.39</w:t>
            </w:r>
          </w:p>
        </w:tc>
        <w:tc>
          <w:tcPr>
            <w:tcW w:w="1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80" w:type="dxa"/>
            <w:vAlign w:val="bottom"/>
            <w:tcBorders>
              <w:bottom w:val="single" w:sz="8" w:color="DDDDDD"/>
            </w:tcBorders>
            <w:shd w:val="clear" w:color="auto" w:fill="DDDDDD"/>
          </w:tcPr>
          <w:p>
            <w:pPr>
              <w:spacing w:after="0"/>
              <w:rPr>
                <w:sz w:val="18"/>
                <w:szCs w:val="18"/>
                <w:color w:val="auto"/>
              </w:rPr>
            </w:pPr>
          </w:p>
        </w:tc>
        <w:tc>
          <w:tcPr>
            <w:tcW w:w="80" w:type="dxa"/>
            <w:vAlign w:val="bottom"/>
            <w:tcBorders>
              <w:bottom w:val="single" w:sz="8" w:color="DDDDDD"/>
            </w:tcBorders>
            <w:shd w:val="clear" w:color="auto" w:fill="DDDDDD"/>
          </w:tcPr>
          <w:p>
            <w:pPr>
              <w:spacing w:after="0"/>
              <w:rPr>
                <w:sz w:val="18"/>
                <w:szCs w:val="18"/>
                <w:color w:val="auto"/>
              </w:rPr>
            </w:pPr>
          </w:p>
        </w:tc>
        <w:tc>
          <w:tcPr>
            <w:tcW w:w="92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0.19</w:t>
            </w:r>
          </w:p>
        </w:tc>
        <w:tc>
          <w:tcPr>
            <w:tcW w:w="20" w:type="dxa"/>
            <w:vAlign w:val="bottom"/>
            <w:tcBorders>
              <w:bottom w:val="single" w:sz="8" w:color="DDDDDD"/>
            </w:tcBorders>
            <w:shd w:val="clear" w:color="auto" w:fill="DDDDDD"/>
          </w:tcPr>
          <w:p>
            <w:pPr>
              <w:spacing w:after="0"/>
              <w:rPr>
                <w:sz w:val="18"/>
                <w:szCs w:val="18"/>
                <w:color w:val="auto"/>
              </w:rPr>
            </w:pPr>
          </w:p>
        </w:tc>
        <w:tc>
          <w:tcPr>
            <w:tcW w:w="1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160" w:type="dxa"/>
            <w:vAlign w:val="bottom"/>
            <w:tcBorders>
              <w:bottom w:val="single" w:sz="8" w:color="DDDDDD"/>
            </w:tcBorders>
            <w:shd w:val="clear" w:color="auto" w:fill="DDDDDD"/>
          </w:tcPr>
          <w:p>
            <w:pPr>
              <w:spacing w:after="0"/>
              <w:rPr>
                <w:sz w:val="18"/>
                <w:szCs w:val="18"/>
                <w:color w:val="auto"/>
              </w:rPr>
            </w:pPr>
          </w:p>
        </w:tc>
        <w:tc>
          <w:tcPr>
            <w:tcW w:w="92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0.14</w:t>
            </w:r>
          </w:p>
        </w:tc>
        <w:tc>
          <w:tcPr>
            <w:tcW w:w="22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highlight w:val="lightGray"/>
              </w:rPr>
              <w:t>%</w:t>
            </w:r>
          </w:p>
        </w:tc>
        <w:tc>
          <w:tcPr>
            <w:tcW w:w="20" w:type="dxa"/>
            <w:vAlign w:val="bottom"/>
            <w:tcBorders>
              <w:bottom w:val="single" w:sz="8" w:color="DDDDDD"/>
            </w:tcBorders>
            <w:shd w:val="clear" w:color="auto" w:fill="DDDDDD"/>
          </w:tcPr>
          <w:p>
            <w:pPr>
              <w:spacing w:after="0"/>
              <w:rPr>
                <w:sz w:val="18"/>
                <w:szCs w:val="18"/>
                <w:color w:val="auto"/>
              </w:rPr>
            </w:pPr>
          </w:p>
        </w:tc>
        <w:tc>
          <w:tcPr>
            <w:tcW w:w="6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gridSpan w:val="2"/>
            <w:shd w:val="clear" w:color="auto" w:fill="DDDDDD"/>
          </w:tcPr>
          <w:p>
            <w:pPr>
              <w:spacing w:after="0"/>
              <w:rPr>
                <w:sz w:val="18"/>
                <w:szCs w:val="18"/>
                <w:color w:val="auto"/>
              </w:rPr>
            </w:pPr>
          </w:p>
        </w:tc>
        <w:tc>
          <w:tcPr>
            <w:tcW w:w="90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(0.02</w:t>
            </w:r>
          </w:p>
        </w:tc>
        <w:tc>
          <w:tcPr>
            <w:tcW w:w="22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highlight w:val="lightGray"/>
                <w:w w:val="95"/>
              </w:rPr>
              <w:t>)%</w:t>
            </w:r>
          </w:p>
        </w:tc>
        <w:tc>
          <w:tcPr>
            <w:tcW w:w="180" w:type="dxa"/>
            <w:vAlign w:val="bottom"/>
            <w:tcBorders>
              <w:bottom w:val="single" w:sz="8" w:color="DDDDDD"/>
            </w:tcBorders>
            <w:shd w:val="clear" w:color="auto" w:fill="DDDDDD"/>
          </w:tcPr>
          <w:p>
            <w:pPr>
              <w:spacing w:after="0"/>
              <w:rPr>
                <w:sz w:val="18"/>
                <w:szCs w:val="18"/>
                <w:color w:val="auto"/>
              </w:rPr>
            </w:pPr>
          </w:p>
        </w:tc>
        <w:tc>
          <w:tcPr>
            <w:tcW w:w="91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(0.07</w:t>
            </w:r>
          </w:p>
        </w:tc>
        <w:tc>
          <w:tcPr>
            <w:tcW w:w="210" w:type="dxa"/>
            <w:vAlign w:val="bottom"/>
            <w:tcBorders>
              <w:bottom w:val="single" w:sz="8" w:color="DDDDDD"/>
            </w:tcBorders>
            <w:shd w:val="clear" w:color="auto" w:fill="DDDDDD"/>
          </w:tcPr>
          <w:p>
            <w:pPr>
              <w:ind w:left="10"/>
              <w:spacing w:after="0" w:line="191" w:lineRule="exact"/>
              <w:rPr>
                <w:sz w:val="20"/>
                <w:szCs w:val="20"/>
                <w:color w:val="auto"/>
              </w:rPr>
            </w:pPr>
            <w:r>
              <w:rPr>
                <w:rFonts w:ascii="Times New Roman" w:cs="Times New Roman" w:eastAsia="Times New Roman" w:hAnsi="Times New Roman"/>
                <w:sz w:val="18"/>
                <w:szCs w:val="18"/>
                <w:color w:val="auto"/>
                <w:highlight w:val="lightGray"/>
                <w:w w:val="85"/>
              </w:rPr>
              <w:t>)%</w:t>
            </w:r>
          </w:p>
        </w:tc>
        <w:tc>
          <w:tcPr>
            <w:tcW w:w="0" w:type="dxa"/>
            <w:vAlign w:val="bottom"/>
          </w:tcPr>
          <w:p>
            <w:pPr>
              <w:spacing w:after="0"/>
              <w:rPr>
                <w:sz w:val="1"/>
                <w:szCs w:val="1"/>
                <w:color w:val="auto"/>
              </w:rPr>
            </w:pPr>
          </w:p>
        </w:tc>
      </w:tr>
      <w:tr>
        <w:trPr>
          <w:trHeight w:val="205"/>
        </w:trPr>
        <w:tc>
          <w:tcPr>
            <w:tcW w:w="292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March 31, 2024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2"/>
          </w:tcPr>
          <w:p>
            <w:pPr>
              <w:jc w:val="right"/>
              <w:spacing w:after="0" w:line="185" w:lineRule="exact"/>
              <w:rPr>
                <w:sz w:val="20"/>
                <w:szCs w:val="20"/>
                <w:color w:val="auto"/>
              </w:rPr>
            </w:pPr>
            <w:r>
              <w:rPr>
                <w:rFonts w:ascii="Times New Roman" w:cs="Times New Roman" w:eastAsia="Times New Roman" w:hAnsi="Times New Roman"/>
                <w:sz w:val="18"/>
                <w:szCs w:val="18"/>
                <w:color w:val="auto"/>
              </w:rPr>
              <w:t>5.32</w:t>
            </w:r>
          </w:p>
        </w:tc>
        <w:tc>
          <w:tcPr>
            <w:tcW w:w="20" w:type="dxa"/>
            <w:vAlign w:val="bottom"/>
          </w:tcPr>
          <w:p>
            <w:pPr>
              <w:spacing w:after="0"/>
              <w:rPr>
                <w:sz w:val="17"/>
                <w:szCs w:val="17"/>
                <w:color w:val="auto"/>
              </w:rPr>
            </w:pPr>
          </w:p>
        </w:tc>
        <w:tc>
          <w:tcPr>
            <w:tcW w:w="420" w:type="dxa"/>
            <w:vAlign w:val="bottom"/>
          </w:tcPr>
          <w:p>
            <w:pPr>
              <w:jc w:val="right"/>
              <w:ind w:right="190"/>
              <w:spacing w:after="0" w:line="185" w:lineRule="exact"/>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color w:val="auto"/>
              </w:rPr>
              <w:t>5.39</w:t>
            </w:r>
          </w:p>
        </w:tc>
        <w:tc>
          <w:tcPr>
            <w:tcW w:w="16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Pr>
          <w:p>
            <w:pPr>
              <w:spacing w:after="0"/>
              <w:rPr>
                <w:sz w:val="17"/>
                <w:szCs w:val="17"/>
                <w:color w:val="auto"/>
              </w:rPr>
            </w:pPr>
          </w:p>
        </w:tc>
        <w:tc>
          <w:tcPr>
            <w:tcW w:w="1000" w:type="dxa"/>
            <w:vAlign w:val="bottom"/>
            <w:gridSpan w:val="2"/>
          </w:tcPr>
          <w:p>
            <w:pPr>
              <w:jc w:val="right"/>
              <w:spacing w:after="0" w:line="185" w:lineRule="exact"/>
              <w:rPr>
                <w:sz w:val="20"/>
                <w:szCs w:val="20"/>
                <w:color w:val="auto"/>
              </w:rPr>
            </w:pPr>
            <w:r>
              <w:rPr>
                <w:rFonts w:ascii="Times New Roman" w:cs="Times New Roman" w:eastAsia="Times New Roman" w:hAnsi="Times New Roman"/>
                <w:sz w:val="18"/>
                <w:szCs w:val="18"/>
                <w:color w:val="auto"/>
              </w:rPr>
              <w:t>0.31</w:t>
            </w:r>
          </w:p>
        </w:tc>
        <w:tc>
          <w:tcPr>
            <w:tcW w:w="20" w:type="dxa"/>
            <w:vAlign w:val="bottom"/>
          </w:tcPr>
          <w:p>
            <w:pPr>
              <w:spacing w:after="0"/>
              <w:rPr>
                <w:sz w:val="17"/>
                <w:szCs w:val="17"/>
                <w:color w:val="auto"/>
              </w:rPr>
            </w:pPr>
          </w:p>
        </w:tc>
        <w:tc>
          <w:tcPr>
            <w:tcW w:w="14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color w:val="auto"/>
                <w:w w:val="79"/>
              </w:rPr>
              <w:t>%</w:t>
            </w:r>
          </w:p>
        </w:tc>
        <w:tc>
          <w:tcPr>
            <w:tcW w:w="1300" w:type="dxa"/>
            <w:vAlign w:val="bottom"/>
            <w:gridSpan w:val="3"/>
          </w:tcPr>
          <w:p>
            <w:pPr>
              <w:jc w:val="right"/>
              <w:spacing w:after="0" w:line="185" w:lineRule="exact"/>
              <w:rPr>
                <w:sz w:val="20"/>
                <w:szCs w:val="20"/>
                <w:color w:val="auto"/>
              </w:rPr>
            </w:pPr>
            <w:r>
              <w:rPr>
                <w:rFonts w:ascii="Times New Roman" w:cs="Times New Roman" w:eastAsia="Times New Roman" w:hAnsi="Times New Roman"/>
                <w:sz w:val="18"/>
                <w:szCs w:val="18"/>
                <w:color w:val="auto"/>
              </w:rPr>
              <w:t>0.24 %</w:t>
            </w:r>
          </w:p>
        </w:tc>
        <w:tc>
          <w:tcPr>
            <w:tcW w:w="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color w:val="auto"/>
              </w:rPr>
              <w:t>0.22</w:t>
            </w:r>
          </w:p>
        </w:tc>
        <w:tc>
          <w:tcPr>
            <w:tcW w:w="22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1120" w:type="dxa"/>
            <w:vAlign w:val="bottom"/>
            <w:gridSpan w:val="2"/>
          </w:tcPr>
          <w:p>
            <w:pPr>
              <w:jc w:val="right"/>
              <w:spacing w:after="0" w:line="185" w:lineRule="exact"/>
              <w:rPr>
                <w:sz w:val="20"/>
                <w:szCs w:val="20"/>
                <w:color w:val="auto"/>
              </w:rPr>
            </w:pPr>
            <w:r>
              <w:rPr>
                <w:rFonts w:ascii="Times New Roman" w:cs="Times New Roman" w:eastAsia="Times New Roman" w:hAnsi="Times New Roman"/>
                <w:sz w:val="18"/>
                <w:szCs w:val="18"/>
                <w:color w:val="auto"/>
              </w:rPr>
              <w:t>0.15 %</w:t>
            </w:r>
          </w:p>
        </w:tc>
        <w:tc>
          <w:tcPr>
            <w:tcW w:w="0" w:type="dxa"/>
            <w:vAlign w:val="bottom"/>
          </w:tcPr>
          <w:p>
            <w:pPr>
              <w:spacing w:after="0"/>
              <w:rPr>
                <w:sz w:val="1"/>
                <w:szCs w:val="1"/>
                <w:color w:val="auto"/>
              </w:rPr>
            </w:pPr>
          </w:p>
        </w:tc>
      </w:tr>
      <w:tr>
        <w:trPr>
          <w:trHeight w:val="222"/>
        </w:trPr>
        <w:tc>
          <w:tcPr>
            <w:tcW w:w="2920" w:type="dxa"/>
            <w:vAlign w:val="bottom"/>
            <w:tcBorders>
              <w:top w:val="single" w:sz="8" w:color="auto"/>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Years Ended</w:t>
            </w:r>
          </w:p>
        </w:tc>
        <w:tc>
          <w:tcPr>
            <w:tcW w:w="20" w:type="dxa"/>
            <w:vAlign w:val="bottom"/>
            <w:tcBorders>
              <w:top w:val="single" w:sz="8" w:color="auto"/>
              <w:bottom w:val="single" w:sz="8" w:color="DDDDDD"/>
            </w:tcBorders>
            <w:shd w:val="clear" w:color="auto" w:fill="DDDDDD"/>
          </w:tcPr>
          <w:p>
            <w:pPr>
              <w:spacing w:after="0"/>
              <w:rPr>
                <w:sz w:val="19"/>
                <w:szCs w:val="19"/>
                <w:color w:val="auto"/>
              </w:rPr>
            </w:pPr>
          </w:p>
        </w:tc>
        <w:tc>
          <w:tcPr>
            <w:tcW w:w="60" w:type="dxa"/>
            <w:vAlign w:val="bottom"/>
            <w:tcBorders>
              <w:top w:val="single" w:sz="8" w:color="auto"/>
              <w:bottom w:val="single" w:sz="8" w:color="DDDDDD"/>
            </w:tcBorders>
            <w:shd w:val="clear" w:color="auto" w:fill="DDDDDD"/>
          </w:tcPr>
          <w:p>
            <w:pPr>
              <w:spacing w:after="0"/>
              <w:rPr>
                <w:sz w:val="19"/>
                <w:szCs w:val="19"/>
                <w:color w:val="auto"/>
              </w:rPr>
            </w:pPr>
          </w:p>
        </w:tc>
        <w:tc>
          <w:tcPr>
            <w:tcW w:w="100" w:type="dxa"/>
            <w:vAlign w:val="bottom"/>
            <w:tcBorders>
              <w:top w:val="single" w:sz="8" w:color="auto"/>
              <w:bottom w:val="single" w:sz="8" w:color="DDDDDD"/>
            </w:tcBorders>
            <w:shd w:val="clear" w:color="auto" w:fill="DDDDDD"/>
          </w:tcPr>
          <w:p>
            <w:pPr>
              <w:spacing w:after="0"/>
              <w:rPr>
                <w:sz w:val="19"/>
                <w:szCs w:val="19"/>
                <w:color w:val="auto"/>
              </w:rPr>
            </w:pPr>
          </w:p>
        </w:tc>
        <w:tc>
          <w:tcPr>
            <w:tcW w:w="900" w:type="dxa"/>
            <w:vAlign w:val="bottom"/>
            <w:tcBorders>
              <w:top w:val="single" w:sz="8" w:color="auto"/>
              <w:bottom w:val="single" w:sz="8" w:color="DDDDDD"/>
            </w:tcBorders>
            <w:shd w:val="clear" w:color="auto" w:fill="DDDDDD"/>
          </w:tcPr>
          <w:p>
            <w:pPr>
              <w:spacing w:after="0"/>
              <w:rPr>
                <w:sz w:val="19"/>
                <w:szCs w:val="19"/>
                <w:color w:val="auto"/>
              </w:rPr>
            </w:pPr>
          </w:p>
        </w:tc>
        <w:tc>
          <w:tcPr>
            <w:tcW w:w="20" w:type="dxa"/>
            <w:vAlign w:val="bottom"/>
            <w:tcBorders>
              <w:top w:val="single" w:sz="8" w:color="auto"/>
              <w:bottom w:val="single" w:sz="8" w:color="DDDDDD"/>
            </w:tcBorders>
            <w:shd w:val="clear" w:color="auto" w:fill="DDDDDD"/>
          </w:tcPr>
          <w:p>
            <w:pPr>
              <w:spacing w:after="0"/>
              <w:rPr>
                <w:sz w:val="19"/>
                <w:szCs w:val="19"/>
                <w:color w:val="auto"/>
              </w:rPr>
            </w:pPr>
          </w:p>
        </w:tc>
        <w:tc>
          <w:tcPr>
            <w:tcW w:w="420" w:type="dxa"/>
            <w:vAlign w:val="bottom"/>
            <w:tcBorders>
              <w:top w:val="single" w:sz="8" w:color="auto"/>
              <w:bottom w:val="single" w:sz="8" w:color="DDDDDD"/>
            </w:tcBorders>
            <w:shd w:val="clear" w:color="auto" w:fill="DDDDDD"/>
          </w:tcPr>
          <w:p>
            <w:pPr>
              <w:spacing w:after="0"/>
              <w:rPr>
                <w:sz w:val="19"/>
                <w:szCs w:val="19"/>
                <w:color w:val="auto"/>
              </w:rPr>
            </w:pPr>
          </w:p>
        </w:tc>
        <w:tc>
          <w:tcPr>
            <w:tcW w:w="60" w:type="dxa"/>
            <w:vAlign w:val="bottom"/>
            <w:tcBorders>
              <w:top w:val="single" w:sz="8" w:color="auto"/>
              <w:bottom w:val="single" w:sz="8" w:color="DDDDDD"/>
            </w:tcBorders>
            <w:shd w:val="clear" w:color="auto" w:fill="DDDDDD"/>
          </w:tcPr>
          <w:p>
            <w:pPr>
              <w:spacing w:after="0"/>
              <w:rPr>
                <w:sz w:val="19"/>
                <w:szCs w:val="19"/>
                <w:color w:val="auto"/>
              </w:rPr>
            </w:pPr>
          </w:p>
        </w:tc>
        <w:tc>
          <w:tcPr>
            <w:tcW w:w="20" w:type="dxa"/>
            <w:vAlign w:val="bottom"/>
            <w:tcBorders>
              <w:top w:val="single" w:sz="8" w:color="DDDDDD"/>
              <w:bottom w:val="single" w:sz="8" w:color="DDDDDD"/>
            </w:tcBorders>
            <w:shd w:val="clear" w:color="auto" w:fill="DDDDDD"/>
          </w:tcPr>
          <w:p>
            <w:pPr>
              <w:spacing w:after="0"/>
              <w:rPr>
                <w:sz w:val="19"/>
                <w:szCs w:val="19"/>
                <w:color w:val="auto"/>
              </w:rPr>
            </w:pPr>
          </w:p>
        </w:tc>
        <w:tc>
          <w:tcPr>
            <w:tcW w:w="60" w:type="dxa"/>
            <w:vAlign w:val="bottom"/>
            <w:tcBorders>
              <w:top w:val="single" w:sz="8" w:color="auto"/>
              <w:bottom w:val="single" w:sz="8" w:color="DDDDDD"/>
            </w:tcBorders>
            <w:shd w:val="clear" w:color="auto" w:fill="DDDDDD"/>
          </w:tcPr>
          <w:p>
            <w:pPr>
              <w:spacing w:after="0"/>
              <w:rPr>
                <w:sz w:val="19"/>
                <w:szCs w:val="19"/>
                <w:color w:val="auto"/>
              </w:rPr>
            </w:pPr>
          </w:p>
        </w:tc>
        <w:tc>
          <w:tcPr>
            <w:tcW w:w="20" w:type="dxa"/>
            <w:vAlign w:val="bottom"/>
            <w:tcBorders>
              <w:top w:val="single" w:sz="8" w:color="auto"/>
              <w:bottom w:val="single" w:sz="8" w:color="DDDDDD"/>
            </w:tcBorders>
            <w:shd w:val="clear" w:color="auto" w:fill="DDDDDD"/>
          </w:tcPr>
          <w:p>
            <w:pPr>
              <w:spacing w:after="0"/>
              <w:rPr>
                <w:sz w:val="19"/>
                <w:szCs w:val="19"/>
                <w:color w:val="auto"/>
              </w:rPr>
            </w:pPr>
          </w:p>
        </w:tc>
        <w:tc>
          <w:tcPr>
            <w:tcW w:w="900" w:type="dxa"/>
            <w:vAlign w:val="bottom"/>
            <w:tcBorders>
              <w:top w:val="single" w:sz="8" w:color="auto"/>
              <w:bottom w:val="single" w:sz="8" w:color="DDDDDD"/>
            </w:tcBorders>
            <w:shd w:val="clear" w:color="auto" w:fill="DDDDDD"/>
          </w:tcPr>
          <w:p>
            <w:pPr>
              <w:spacing w:after="0"/>
              <w:rPr>
                <w:sz w:val="19"/>
                <w:szCs w:val="19"/>
                <w:color w:val="auto"/>
              </w:rPr>
            </w:pPr>
          </w:p>
        </w:tc>
        <w:tc>
          <w:tcPr>
            <w:tcW w:w="160" w:type="dxa"/>
            <w:vAlign w:val="bottom"/>
            <w:tcBorders>
              <w:top w:val="single" w:sz="8" w:color="auto"/>
              <w:bottom w:val="single" w:sz="8" w:color="DDDDDD"/>
            </w:tcBorders>
            <w:shd w:val="clear" w:color="auto" w:fill="DDDDDD"/>
          </w:tcPr>
          <w:p>
            <w:pPr>
              <w:spacing w:after="0"/>
              <w:rPr>
                <w:sz w:val="19"/>
                <w:szCs w:val="19"/>
                <w:color w:val="auto"/>
              </w:rPr>
            </w:pPr>
          </w:p>
        </w:tc>
        <w:tc>
          <w:tcPr>
            <w:tcW w:w="80" w:type="dxa"/>
            <w:vAlign w:val="bottom"/>
            <w:tcBorders>
              <w:top w:val="single" w:sz="8" w:color="auto"/>
              <w:bottom w:val="single" w:sz="8" w:color="DDDDDD"/>
            </w:tcBorders>
            <w:shd w:val="clear" w:color="auto" w:fill="DDDDDD"/>
          </w:tcPr>
          <w:p>
            <w:pPr>
              <w:spacing w:after="0"/>
              <w:rPr>
                <w:sz w:val="19"/>
                <w:szCs w:val="19"/>
                <w:color w:val="auto"/>
              </w:rPr>
            </w:pPr>
          </w:p>
        </w:tc>
        <w:tc>
          <w:tcPr>
            <w:tcW w:w="80" w:type="dxa"/>
            <w:vAlign w:val="bottom"/>
            <w:tcBorders>
              <w:top w:val="single" w:sz="8" w:color="auto"/>
              <w:bottom w:val="single" w:sz="8" w:color="DDDDDD"/>
            </w:tcBorders>
            <w:shd w:val="clear" w:color="auto" w:fill="DDDDDD"/>
          </w:tcPr>
          <w:p>
            <w:pPr>
              <w:spacing w:after="0"/>
              <w:rPr>
                <w:sz w:val="19"/>
                <w:szCs w:val="19"/>
                <w:color w:val="auto"/>
              </w:rPr>
            </w:pPr>
          </w:p>
        </w:tc>
        <w:tc>
          <w:tcPr>
            <w:tcW w:w="920" w:type="dxa"/>
            <w:vAlign w:val="bottom"/>
            <w:tcBorders>
              <w:top w:val="single" w:sz="8" w:color="auto"/>
              <w:bottom w:val="single" w:sz="8" w:color="DDDDDD"/>
            </w:tcBorders>
            <w:shd w:val="clear" w:color="auto" w:fill="DDDDDD"/>
          </w:tcPr>
          <w:p>
            <w:pPr>
              <w:spacing w:after="0"/>
              <w:rPr>
                <w:sz w:val="19"/>
                <w:szCs w:val="19"/>
                <w:color w:val="auto"/>
              </w:rPr>
            </w:pPr>
          </w:p>
        </w:tc>
        <w:tc>
          <w:tcPr>
            <w:tcW w:w="20" w:type="dxa"/>
            <w:vAlign w:val="bottom"/>
            <w:tcBorders>
              <w:top w:val="single" w:sz="8" w:color="auto"/>
              <w:bottom w:val="single" w:sz="8" w:color="DDDDDD"/>
            </w:tcBorders>
            <w:shd w:val="clear" w:color="auto" w:fill="DDDDDD"/>
          </w:tcPr>
          <w:p>
            <w:pPr>
              <w:spacing w:after="0"/>
              <w:rPr>
                <w:sz w:val="19"/>
                <w:szCs w:val="19"/>
                <w:color w:val="auto"/>
              </w:rPr>
            </w:pPr>
          </w:p>
        </w:tc>
        <w:tc>
          <w:tcPr>
            <w:tcW w:w="140" w:type="dxa"/>
            <w:vAlign w:val="bottom"/>
            <w:tcBorders>
              <w:top w:val="single" w:sz="8" w:color="auto"/>
              <w:bottom w:val="single" w:sz="8" w:color="DDDDDD"/>
            </w:tcBorders>
            <w:shd w:val="clear" w:color="auto" w:fill="DDDDDD"/>
          </w:tcPr>
          <w:p>
            <w:pPr>
              <w:spacing w:after="0"/>
              <w:rPr>
                <w:sz w:val="19"/>
                <w:szCs w:val="19"/>
                <w:color w:val="auto"/>
              </w:rPr>
            </w:pPr>
          </w:p>
        </w:tc>
        <w:tc>
          <w:tcPr>
            <w:tcW w:w="160" w:type="dxa"/>
            <w:vAlign w:val="bottom"/>
            <w:tcBorders>
              <w:top w:val="single" w:sz="8" w:color="auto"/>
              <w:bottom w:val="single" w:sz="8" w:color="DDDDDD"/>
            </w:tcBorders>
            <w:shd w:val="clear" w:color="auto" w:fill="DDDDDD"/>
          </w:tcPr>
          <w:p>
            <w:pPr>
              <w:spacing w:after="0"/>
              <w:rPr>
                <w:sz w:val="19"/>
                <w:szCs w:val="19"/>
                <w:color w:val="auto"/>
              </w:rPr>
            </w:pPr>
          </w:p>
        </w:tc>
        <w:tc>
          <w:tcPr>
            <w:tcW w:w="920" w:type="dxa"/>
            <w:vAlign w:val="bottom"/>
            <w:tcBorders>
              <w:top w:val="single" w:sz="8" w:color="auto"/>
              <w:bottom w:val="single" w:sz="8" w:color="DDDDDD"/>
            </w:tcBorders>
            <w:shd w:val="clear" w:color="auto" w:fill="DDDDDD"/>
          </w:tcPr>
          <w:p>
            <w:pPr>
              <w:spacing w:after="0"/>
              <w:rPr>
                <w:sz w:val="19"/>
                <w:szCs w:val="19"/>
                <w:color w:val="auto"/>
              </w:rPr>
            </w:pPr>
          </w:p>
        </w:tc>
        <w:tc>
          <w:tcPr>
            <w:tcW w:w="220" w:type="dxa"/>
            <w:vAlign w:val="bottom"/>
            <w:tcBorders>
              <w:top w:val="single" w:sz="8" w:color="auto"/>
              <w:bottom w:val="single" w:sz="8" w:color="DDDDDD"/>
            </w:tcBorders>
            <w:shd w:val="clear" w:color="auto" w:fill="DDDDDD"/>
          </w:tcPr>
          <w:p>
            <w:pPr>
              <w:spacing w:after="0"/>
              <w:rPr>
                <w:sz w:val="19"/>
                <w:szCs w:val="19"/>
                <w:color w:val="auto"/>
              </w:rPr>
            </w:pPr>
          </w:p>
        </w:tc>
        <w:tc>
          <w:tcPr>
            <w:tcW w:w="20" w:type="dxa"/>
            <w:vAlign w:val="bottom"/>
            <w:tcBorders>
              <w:top w:val="single" w:sz="8" w:color="auto"/>
              <w:bottom w:val="single" w:sz="8" w:color="DDDDDD"/>
            </w:tcBorders>
            <w:shd w:val="clear" w:color="auto" w:fill="DDDDDD"/>
          </w:tcPr>
          <w:p>
            <w:pPr>
              <w:spacing w:after="0"/>
              <w:rPr>
                <w:sz w:val="19"/>
                <w:szCs w:val="19"/>
                <w:color w:val="auto"/>
              </w:rPr>
            </w:pPr>
          </w:p>
        </w:tc>
        <w:tc>
          <w:tcPr>
            <w:tcW w:w="60" w:type="dxa"/>
            <w:vAlign w:val="bottom"/>
            <w:tcBorders>
              <w:top w:val="single" w:sz="8" w:color="auto"/>
              <w:bottom w:val="single" w:sz="8" w:color="DDDDDD"/>
            </w:tcBorders>
            <w:shd w:val="clear" w:color="auto" w:fill="DDDDDD"/>
          </w:tcPr>
          <w:p>
            <w:pPr>
              <w:spacing w:after="0"/>
              <w:rPr>
                <w:sz w:val="19"/>
                <w:szCs w:val="19"/>
                <w:color w:val="auto"/>
              </w:rPr>
            </w:pPr>
          </w:p>
        </w:tc>
        <w:tc>
          <w:tcPr>
            <w:tcW w:w="80" w:type="dxa"/>
            <w:vAlign w:val="bottom"/>
            <w:tcBorders>
              <w:top w:val="single" w:sz="8" w:color="auto"/>
              <w:bottom w:val="single" w:sz="8" w:color="DDDDDD"/>
            </w:tcBorders>
            <w:shd w:val="clear" w:color="auto" w:fill="DDDDDD"/>
          </w:tcPr>
          <w:p>
            <w:pPr>
              <w:spacing w:after="0"/>
              <w:rPr>
                <w:sz w:val="19"/>
                <w:szCs w:val="19"/>
                <w:color w:val="auto"/>
              </w:rPr>
            </w:pPr>
          </w:p>
        </w:tc>
        <w:tc>
          <w:tcPr>
            <w:tcW w:w="20" w:type="dxa"/>
            <w:vAlign w:val="bottom"/>
            <w:tcBorders>
              <w:top w:val="single" w:sz="8" w:color="auto"/>
              <w:bottom w:val="single" w:sz="8" w:color="DDDDDD"/>
            </w:tcBorders>
            <w:shd w:val="clear" w:color="auto" w:fill="DDDDDD"/>
          </w:tcPr>
          <w:p>
            <w:pPr>
              <w:spacing w:after="0"/>
              <w:rPr>
                <w:sz w:val="19"/>
                <w:szCs w:val="19"/>
                <w:color w:val="auto"/>
              </w:rPr>
            </w:pPr>
          </w:p>
        </w:tc>
        <w:tc>
          <w:tcPr>
            <w:tcW w:w="900" w:type="dxa"/>
            <w:vAlign w:val="bottom"/>
            <w:tcBorders>
              <w:top w:val="single" w:sz="8" w:color="auto"/>
              <w:bottom w:val="single" w:sz="8" w:color="DDDDDD"/>
            </w:tcBorders>
            <w:shd w:val="clear" w:color="auto" w:fill="DDDDDD"/>
          </w:tcPr>
          <w:p>
            <w:pPr>
              <w:spacing w:after="0"/>
              <w:rPr>
                <w:sz w:val="19"/>
                <w:szCs w:val="19"/>
                <w:color w:val="auto"/>
              </w:rPr>
            </w:pPr>
          </w:p>
        </w:tc>
        <w:tc>
          <w:tcPr>
            <w:tcW w:w="220" w:type="dxa"/>
            <w:vAlign w:val="bottom"/>
            <w:tcBorders>
              <w:top w:val="single" w:sz="8" w:color="auto"/>
              <w:bottom w:val="single" w:sz="8" w:color="DDDDDD"/>
            </w:tcBorders>
            <w:shd w:val="clear" w:color="auto" w:fill="DDDDDD"/>
          </w:tcPr>
          <w:p>
            <w:pPr>
              <w:spacing w:after="0"/>
              <w:rPr>
                <w:sz w:val="19"/>
                <w:szCs w:val="19"/>
                <w:color w:val="auto"/>
              </w:rPr>
            </w:pPr>
          </w:p>
        </w:tc>
        <w:tc>
          <w:tcPr>
            <w:tcW w:w="180" w:type="dxa"/>
            <w:vAlign w:val="bottom"/>
            <w:tcBorders>
              <w:top w:val="single" w:sz="8" w:color="auto"/>
              <w:bottom w:val="single" w:sz="8" w:color="DDDDDD"/>
            </w:tcBorders>
            <w:shd w:val="clear" w:color="auto" w:fill="DDDDDD"/>
          </w:tcPr>
          <w:p>
            <w:pPr>
              <w:spacing w:after="0"/>
              <w:rPr>
                <w:sz w:val="19"/>
                <w:szCs w:val="19"/>
                <w:color w:val="auto"/>
              </w:rPr>
            </w:pPr>
          </w:p>
        </w:tc>
        <w:tc>
          <w:tcPr>
            <w:tcW w:w="910" w:type="dxa"/>
            <w:vAlign w:val="bottom"/>
            <w:tcBorders>
              <w:top w:val="single" w:sz="8" w:color="auto"/>
              <w:bottom w:val="single" w:sz="8" w:color="DDDDDD"/>
            </w:tcBorders>
            <w:shd w:val="clear" w:color="auto" w:fill="DDDDDD"/>
          </w:tcPr>
          <w:p>
            <w:pPr>
              <w:spacing w:after="0"/>
              <w:rPr>
                <w:sz w:val="19"/>
                <w:szCs w:val="19"/>
                <w:color w:val="auto"/>
              </w:rPr>
            </w:pPr>
          </w:p>
        </w:tc>
        <w:tc>
          <w:tcPr>
            <w:tcW w:w="210" w:type="dxa"/>
            <w:vAlign w:val="bottom"/>
            <w:tcBorders>
              <w:top w:val="single" w:sz="8" w:color="auto"/>
              <w:bottom w:val="single" w:sz="8" w:color="DDDDDD"/>
            </w:tcBorders>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tcBorders>
              <w:top w:val="single" w:sz="8" w:color="auto"/>
              <w:bottom w:val="single" w:sz="8" w:color="DDDDDD"/>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December 31, 2025</w:t>
            </w:r>
          </w:p>
        </w:tc>
        <w:tc>
          <w:tcPr>
            <w:tcW w:w="1020" w:type="dxa"/>
            <w:vAlign w:val="bottom"/>
            <w:tcBorders>
              <w:top w:val="single" w:sz="8" w:color="auto"/>
              <w:bottom w:val="single" w:sz="8" w:color="DDDDDD"/>
            </w:tcBorders>
            <w:gridSpan w:val="3"/>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4.19</w:t>
            </w:r>
          </w:p>
        </w:tc>
        <w:tc>
          <w:tcPr>
            <w:tcW w:w="420" w:type="dxa"/>
            <w:vAlign w:val="bottom"/>
            <w:tcBorders>
              <w:top w:val="single" w:sz="8" w:color="auto"/>
              <w:bottom w:val="single" w:sz="8" w:color="DDDDDD"/>
            </w:tcBorders>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auto"/>
              <w:bottom w:val="single" w:sz="8" w:color="DDDDDD"/>
            </w:tcBorders>
          </w:tcPr>
          <w:p>
            <w:pPr>
              <w:spacing w:after="0"/>
              <w:rPr>
                <w:sz w:val="15"/>
                <w:szCs w:val="15"/>
                <w:color w:val="auto"/>
              </w:rPr>
            </w:pPr>
          </w:p>
        </w:tc>
        <w:tc>
          <w:tcPr>
            <w:tcW w:w="20" w:type="dxa"/>
            <w:vAlign w:val="bottom"/>
            <w:tcBorders>
              <w:bottom w:val="single" w:sz="8" w:color="DDDDDD"/>
            </w:tcBorders>
          </w:tcPr>
          <w:p>
            <w:pPr>
              <w:spacing w:after="0"/>
              <w:rPr>
                <w:sz w:val="15"/>
                <w:szCs w:val="15"/>
                <w:color w:val="auto"/>
              </w:rPr>
            </w:pPr>
          </w:p>
        </w:tc>
        <w:tc>
          <w:tcPr>
            <w:tcW w:w="980" w:type="dxa"/>
            <w:vAlign w:val="bottom"/>
            <w:tcBorders>
              <w:top w:val="single" w:sz="8" w:color="auto"/>
              <w:bottom w:val="single" w:sz="8" w:color="DDDDDD"/>
            </w:tcBorders>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auto"/>
              </w:rPr>
              <w:t>4.37</w:t>
            </w:r>
          </w:p>
        </w:tc>
        <w:tc>
          <w:tcPr>
            <w:tcW w:w="160" w:type="dxa"/>
            <w:vAlign w:val="bottom"/>
            <w:tcBorders>
              <w:top w:val="single" w:sz="8" w:color="auto"/>
              <w:bottom w:val="single" w:sz="8" w:color="DDDDDD"/>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top w:val="single" w:sz="8" w:color="auto"/>
              <w:bottom w:val="single" w:sz="8" w:color="DDDDDD"/>
            </w:tcBorders>
          </w:tcPr>
          <w:p>
            <w:pPr>
              <w:spacing w:after="0"/>
              <w:rPr>
                <w:sz w:val="15"/>
                <w:szCs w:val="15"/>
                <w:color w:val="auto"/>
              </w:rPr>
            </w:pPr>
          </w:p>
        </w:tc>
        <w:tc>
          <w:tcPr>
            <w:tcW w:w="1160" w:type="dxa"/>
            <w:vAlign w:val="bottom"/>
            <w:tcBorders>
              <w:top w:val="single" w:sz="8" w:color="auto"/>
              <w:bottom w:val="single" w:sz="8" w:color="DDDDDD"/>
            </w:tcBorders>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auto"/>
              </w:rPr>
              <w:t>0.28 %</w:t>
            </w:r>
          </w:p>
        </w:tc>
        <w:tc>
          <w:tcPr>
            <w:tcW w:w="1300" w:type="dxa"/>
            <w:vAlign w:val="bottom"/>
            <w:tcBorders>
              <w:top w:val="single" w:sz="8" w:color="auto"/>
              <w:bottom w:val="single" w:sz="8" w:color="DDDDDD"/>
            </w:tcBorders>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auto"/>
              </w:rPr>
              <w:t>0.10 %</w:t>
            </w:r>
          </w:p>
        </w:tc>
        <w:tc>
          <w:tcPr>
            <w:tcW w:w="1300" w:type="dxa"/>
            <w:vAlign w:val="bottom"/>
            <w:tcBorders>
              <w:top w:val="single" w:sz="8" w:color="auto"/>
              <w:bottom w:val="single" w:sz="8" w:color="DDDDDD"/>
            </w:tcBorders>
            <w:gridSpan w:val="6"/>
          </w:tcPr>
          <w:p>
            <w:pPr>
              <w:jc w:val="right"/>
              <w:spacing w:after="0" w:line="176" w:lineRule="exact"/>
              <w:rPr>
                <w:sz w:val="20"/>
                <w:szCs w:val="20"/>
                <w:color w:val="auto"/>
              </w:rPr>
            </w:pPr>
            <w:r>
              <w:rPr>
                <w:rFonts w:ascii="Times New Roman" w:cs="Times New Roman" w:eastAsia="Times New Roman" w:hAnsi="Times New Roman"/>
                <w:sz w:val="18"/>
                <w:szCs w:val="18"/>
                <w:color w:val="auto"/>
              </w:rPr>
              <w:t>(0.13 )%</w:t>
            </w:r>
          </w:p>
        </w:tc>
        <w:tc>
          <w:tcPr>
            <w:tcW w:w="180" w:type="dxa"/>
            <w:vAlign w:val="bottom"/>
            <w:tcBorders>
              <w:top w:val="single" w:sz="8" w:color="auto"/>
              <w:bottom w:val="single" w:sz="8" w:color="DDDDDD"/>
            </w:tcBorders>
          </w:tcPr>
          <w:p>
            <w:pPr>
              <w:spacing w:after="0"/>
              <w:rPr>
                <w:sz w:val="15"/>
                <w:szCs w:val="15"/>
                <w:color w:val="auto"/>
              </w:rPr>
            </w:pPr>
          </w:p>
        </w:tc>
        <w:tc>
          <w:tcPr>
            <w:tcW w:w="1120" w:type="dxa"/>
            <w:vAlign w:val="bottom"/>
            <w:tcBorders>
              <w:top w:val="single" w:sz="8" w:color="auto"/>
              <w:bottom w:val="single" w:sz="8" w:color="DDDDDD"/>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(0.31 )%</w:t>
            </w:r>
          </w:p>
        </w:tc>
        <w:tc>
          <w:tcPr>
            <w:tcW w:w="0" w:type="dxa"/>
            <w:vAlign w:val="bottom"/>
          </w:tcPr>
          <w:p>
            <w:pPr>
              <w:spacing w:after="0"/>
              <w:rPr>
                <w:sz w:val="1"/>
                <w:szCs w:val="1"/>
                <w:color w:val="auto"/>
              </w:rPr>
            </w:pPr>
          </w:p>
        </w:tc>
      </w:tr>
      <w:tr>
        <w:trPr>
          <w:trHeight w:val="192"/>
        </w:trPr>
        <w:tc>
          <w:tcPr>
            <w:tcW w:w="2920" w:type="dxa"/>
            <w:vAlign w:val="bottom"/>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December 31, 2024</w:t>
            </w:r>
          </w:p>
        </w:tc>
        <w:tc>
          <w:tcPr>
            <w:tcW w:w="2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900" w:type="dxa"/>
            <w:vAlign w:val="bottom"/>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5.09</w:t>
            </w:r>
          </w:p>
        </w:tc>
        <w:tc>
          <w:tcPr>
            <w:tcW w:w="20" w:type="dxa"/>
            <w:vAlign w:val="bottom"/>
            <w:shd w:val="clear" w:color="auto" w:fill="DDDDDD"/>
          </w:tcPr>
          <w:p>
            <w:pPr>
              <w:spacing w:after="0"/>
              <w:rPr>
                <w:sz w:val="16"/>
                <w:szCs w:val="16"/>
                <w:color w:val="auto"/>
              </w:rPr>
            </w:pPr>
          </w:p>
        </w:tc>
        <w:tc>
          <w:tcPr>
            <w:tcW w:w="420" w:type="dxa"/>
            <w:vAlign w:val="bottom"/>
            <w:shd w:val="clear" w:color="auto" w:fill="DDDDDD"/>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w w:val="79"/>
              </w:rPr>
              <w:t>%</w:t>
            </w:r>
          </w:p>
        </w:tc>
        <w:tc>
          <w:tcPr>
            <w:tcW w:w="6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80" w:type="dxa"/>
            <w:vAlign w:val="bottom"/>
            <w:gridSpan w:val="2"/>
            <w:shd w:val="clear" w:color="auto" w:fill="DDDDDD"/>
          </w:tcPr>
          <w:p>
            <w:pPr>
              <w:spacing w:after="0"/>
              <w:rPr>
                <w:sz w:val="16"/>
                <w:szCs w:val="16"/>
                <w:color w:val="auto"/>
              </w:rPr>
            </w:pPr>
          </w:p>
        </w:tc>
        <w:tc>
          <w:tcPr>
            <w:tcW w:w="900" w:type="dxa"/>
            <w:vAlign w:val="bottom"/>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5.30</w:t>
            </w:r>
          </w:p>
        </w:tc>
        <w:tc>
          <w:tcPr>
            <w:tcW w:w="160" w:type="dxa"/>
            <w:vAlign w:val="bottom"/>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8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920" w:type="dxa"/>
            <w:vAlign w:val="bottom"/>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0.28</w:t>
            </w:r>
          </w:p>
        </w:tc>
        <w:tc>
          <w:tcPr>
            <w:tcW w:w="20" w:type="dxa"/>
            <w:vAlign w:val="bottom"/>
            <w:shd w:val="clear" w:color="auto" w:fill="DDDDDD"/>
          </w:tcPr>
          <w:p>
            <w:pPr>
              <w:spacing w:after="0"/>
              <w:rPr>
                <w:sz w:val="16"/>
                <w:szCs w:val="16"/>
                <w:color w:val="auto"/>
              </w:rPr>
            </w:pPr>
          </w:p>
        </w:tc>
        <w:tc>
          <w:tcPr>
            <w:tcW w:w="140" w:type="dxa"/>
            <w:vAlign w:val="bottom"/>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160" w:type="dxa"/>
            <w:vAlign w:val="bottom"/>
            <w:shd w:val="clear" w:color="auto" w:fill="DDDDDD"/>
          </w:tcPr>
          <w:p>
            <w:pPr>
              <w:spacing w:after="0"/>
              <w:rPr>
                <w:sz w:val="16"/>
                <w:szCs w:val="16"/>
                <w:color w:val="auto"/>
              </w:rPr>
            </w:pPr>
          </w:p>
        </w:tc>
        <w:tc>
          <w:tcPr>
            <w:tcW w:w="920" w:type="dxa"/>
            <w:vAlign w:val="bottom"/>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0.07</w:t>
            </w:r>
          </w:p>
        </w:tc>
        <w:tc>
          <w:tcPr>
            <w:tcW w:w="220" w:type="dxa"/>
            <w:vAlign w:val="bottom"/>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highlight w:val="lightGray"/>
              </w:rPr>
              <w:t>%</w:t>
            </w:r>
          </w:p>
        </w:tc>
        <w:tc>
          <w:tcPr>
            <w:tcW w:w="2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100" w:type="dxa"/>
            <w:vAlign w:val="bottom"/>
            <w:gridSpan w:val="2"/>
            <w:shd w:val="clear" w:color="auto" w:fill="DDDDDD"/>
          </w:tcPr>
          <w:p>
            <w:pPr>
              <w:spacing w:after="0"/>
              <w:rPr>
                <w:sz w:val="16"/>
                <w:szCs w:val="16"/>
                <w:color w:val="auto"/>
              </w:rPr>
            </w:pPr>
          </w:p>
        </w:tc>
        <w:tc>
          <w:tcPr>
            <w:tcW w:w="900" w:type="dxa"/>
            <w:vAlign w:val="bottom"/>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0.25</w:t>
            </w:r>
          </w:p>
        </w:tc>
        <w:tc>
          <w:tcPr>
            <w:tcW w:w="220" w:type="dxa"/>
            <w:vAlign w:val="bottom"/>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highlight w:val="lightGray"/>
              </w:rPr>
              <w:t>%</w:t>
            </w:r>
          </w:p>
        </w:tc>
        <w:tc>
          <w:tcPr>
            <w:tcW w:w="180" w:type="dxa"/>
            <w:vAlign w:val="bottom"/>
            <w:shd w:val="clear" w:color="auto" w:fill="DDDDDD"/>
          </w:tcPr>
          <w:p>
            <w:pPr>
              <w:spacing w:after="0"/>
              <w:rPr>
                <w:sz w:val="16"/>
                <w:szCs w:val="16"/>
                <w:color w:val="auto"/>
              </w:rPr>
            </w:pPr>
          </w:p>
        </w:tc>
        <w:tc>
          <w:tcPr>
            <w:tcW w:w="910" w:type="dxa"/>
            <w:vAlign w:val="bottom"/>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0.04</w:t>
            </w:r>
          </w:p>
        </w:tc>
        <w:tc>
          <w:tcPr>
            <w:tcW w:w="210" w:type="dxa"/>
            <w:vAlign w:val="bottom"/>
            <w:shd w:val="clear" w:color="auto" w:fill="DDDDDD"/>
          </w:tcPr>
          <w:p>
            <w:pPr>
              <w:ind w:left="10"/>
              <w:spacing w:after="0" w:line="191" w:lineRule="exact"/>
              <w:rPr>
                <w:sz w:val="20"/>
                <w:szCs w:val="20"/>
                <w:color w:val="auto"/>
              </w:rPr>
            </w:pPr>
            <w:r>
              <w:rPr>
                <w:rFonts w:ascii="Times New Roman" w:cs="Times New Roman" w:eastAsia="Times New Roman" w:hAnsi="Times New Roman"/>
                <w:sz w:val="18"/>
                <w:szCs w:val="18"/>
                <w:color w:val="auto"/>
                <w:highlight w:val="lightGray"/>
              </w:rPr>
              <w:t>%</w:t>
            </w:r>
          </w:p>
        </w:tc>
        <w:tc>
          <w:tcPr>
            <w:tcW w:w="0" w:type="dxa"/>
            <w:vAlign w:val="bottom"/>
          </w:tcPr>
          <w:p>
            <w:pPr>
              <w:spacing w:after="0"/>
              <w:rPr>
                <w:sz w:val="1"/>
                <w:szCs w:val="1"/>
                <w:color w:val="auto"/>
              </w:rPr>
            </w:pPr>
          </w:p>
        </w:tc>
      </w:tr>
      <w:tr>
        <w:trPr>
          <w:trHeight w:val="20"/>
        </w:trPr>
        <w:tc>
          <w:tcPr>
            <w:tcW w:w="292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60" w:type="dxa"/>
            <w:vAlign w:val="bottom"/>
            <w:shd w:val="clear" w:color="auto" w:fill="DDDDDD"/>
          </w:tcPr>
          <w:p>
            <w:pPr>
              <w:spacing w:after="0" w:line="20" w:lineRule="exact"/>
              <w:rPr>
                <w:sz w:val="1"/>
                <w:szCs w:val="1"/>
                <w:color w:val="auto"/>
              </w:rPr>
            </w:pPr>
          </w:p>
        </w:tc>
        <w:tc>
          <w:tcPr>
            <w:tcW w:w="100" w:type="dxa"/>
            <w:vAlign w:val="bottom"/>
            <w:shd w:val="clear" w:color="auto" w:fill="DDDDDD"/>
          </w:tcPr>
          <w:p>
            <w:pPr>
              <w:spacing w:after="0" w:line="20" w:lineRule="exact"/>
              <w:rPr>
                <w:sz w:val="1"/>
                <w:szCs w:val="1"/>
                <w:color w:val="auto"/>
              </w:rPr>
            </w:pPr>
          </w:p>
        </w:tc>
        <w:tc>
          <w:tcPr>
            <w:tcW w:w="90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420" w:type="dxa"/>
            <w:vAlign w:val="bottom"/>
            <w:shd w:val="clear" w:color="auto" w:fill="DDDDDD"/>
          </w:tcPr>
          <w:p>
            <w:pPr>
              <w:spacing w:after="0" w:line="20" w:lineRule="exact"/>
              <w:rPr>
                <w:sz w:val="1"/>
                <w:szCs w:val="1"/>
                <w:color w:val="auto"/>
              </w:rPr>
            </w:pPr>
          </w:p>
        </w:tc>
        <w:tc>
          <w:tcPr>
            <w:tcW w:w="6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6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900" w:type="dxa"/>
            <w:vAlign w:val="bottom"/>
            <w:shd w:val="clear" w:color="auto" w:fill="DDDDDD"/>
          </w:tcPr>
          <w:p>
            <w:pPr>
              <w:spacing w:after="0" w:line="20" w:lineRule="exact"/>
              <w:rPr>
                <w:sz w:val="1"/>
                <w:szCs w:val="1"/>
                <w:color w:val="auto"/>
              </w:rPr>
            </w:pPr>
          </w:p>
        </w:tc>
        <w:tc>
          <w:tcPr>
            <w:tcW w:w="160" w:type="dxa"/>
            <w:vAlign w:val="bottom"/>
            <w:shd w:val="clear" w:color="auto" w:fill="DDDDDD"/>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c>
          <w:tcPr>
            <w:tcW w:w="92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140" w:type="dxa"/>
            <w:vAlign w:val="bottom"/>
            <w:shd w:val="clear" w:color="auto" w:fill="DDDDDD"/>
          </w:tcPr>
          <w:p>
            <w:pPr>
              <w:spacing w:after="0" w:line="20" w:lineRule="exact"/>
              <w:rPr>
                <w:sz w:val="1"/>
                <w:szCs w:val="1"/>
                <w:color w:val="auto"/>
              </w:rPr>
            </w:pPr>
          </w:p>
        </w:tc>
        <w:tc>
          <w:tcPr>
            <w:tcW w:w="160" w:type="dxa"/>
            <w:vAlign w:val="bottom"/>
            <w:shd w:val="clear" w:color="auto" w:fill="DDDDDD"/>
          </w:tcPr>
          <w:p>
            <w:pPr>
              <w:spacing w:after="0" w:line="20" w:lineRule="exact"/>
              <w:rPr>
                <w:sz w:val="1"/>
                <w:szCs w:val="1"/>
                <w:color w:val="auto"/>
              </w:rPr>
            </w:pPr>
          </w:p>
        </w:tc>
        <w:tc>
          <w:tcPr>
            <w:tcW w:w="920" w:type="dxa"/>
            <w:vAlign w:val="bottom"/>
            <w:shd w:val="clear" w:color="auto" w:fill="DDDDDD"/>
          </w:tcPr>
          <w:p>
            <w:pPr>
              <w:spacing w:after="0" w:line="20" w:lineRule="exact"/>
              <w:rPr>
                <w:sz w:val="1"/>
                <w:szCs w:val="1"/>
                <w:color w:val="auto"/>
              </w:rPr>
            </w:pPr>
          </w:p>
        </w:tc>
        <w:tc>
          <w:tcPr>
            <w:tcW w:w="22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60" w:type="dxa"/>
            <w:vAlign w:val="bottom"/>
            <w:shd w:val="clear" w:color="auto" w:fill="DDDDDD"/>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900" w:type="dxa"/>
            <w:vAlign w:val="bottom"/>
            <w:shd w:val="clear" w:color="auto" w:fill="DDDDDD"/>
          </w:tcPr>
          <w:p>
            <w:pPr>
              <w:spacing w:after="0" w:line="20" w:lineRule="exact"/>
              <w:rPr>
                <w:sz w:val="1"/>
                <w:szCs w:val="1"/>
                <w:color w:val="auto"/>
              </w:rPr>
            </w:pPr>
          </w:p>
        </w:tc>
        <w:tc>
          <w:tcPr>
            <w:tcW w:w="220" w:type="dxa"/>
            <w:vAlign w:val="bottom"/>
            <w:shd w:val="clear" w:color="auto" w:fill="DDDDDD"/>
          </w:tcPr>
          <w:p>
            <w:pPr>
              <w:spacing w:after="0" w:line="20" w:lineRule="exact"/>
              <w:rPr>
                <w:sz w:val="1"/>
                <w:szCs w:val="1"/>
                <w:color w:val="auto"/>
              </w:rPr>
            </w:pPr>
          </w:p>
        </w:tc>
        <w:tc>
          <w:tcPr>
            <w:tcW w:w="180" w:type="dxa"/>
            <w:vAlign w:val="bottom"/>
            <w:shd w:val="clear" w:color="auto" w:fill="DDDDDD"/>
          </w:tcPr>
          <w:p>
            <w:pPr>
              <w:spacing w:after="0" w:line="20" w:lineRule="exact"/>
              <w:rPr>
                <w:sz w:val="1"/>
                <w:szCs w:val="1"/>
                <w:color w:val="auto"/>
              </w:rPr>
            </w:pPr>
          </w:p>
        </w:tc>
        <w:tc>
          <w:tcPr>
            <w:tcW w:w="910" w:type="dxa"/>
            <w:vAlign w:val="bottom"/>
            <w:shd w:val="clear" w:color="auto" w:fill="DDDDDD"/>
          </w:tcPr>
          <w:p>
            <w:pPr>
              <w:spacing w:after="0" w:line="20" w:lineRule="exact"/>
              <w:rPr>
                <w:sz w:val="1"/>
                <w:szCs w:val="1"/>
                <w:color w:val="auto"/>
              </w:rPr>
            </w:pPr>
          </w:p>
        </w:tc>
        <w:tc>
          <w:tcPr>
            <w:tcW w:w="210" w:type="dxa"/>
            <w:vAlign w:val="bottom"/>
            <w:shd w:val="clear" w:color="auto" w:fill="DDDDD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3653790</wp:posOffset>
                </wp:positionH>
                <wp:positionV relativeFrom="paragraph">
                  <wp:posOffset>-1821180</wp:posOffset>
                </wp:positionV>
                <wp:extent cx="156527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65275" cy="4763"/>
                        </a:xfrm>
                        <a:prstGeom prst="line">
                          <a:avLst/>
                        </a:prstGeom>
                        <a:solidFill>
                          <a:srgbClr val="FFFFFF"/>
                        </a:solidFill>
                        <a:ln w="1776">
                          <a:solidFill>
                            <a:srgbClr val="FFFFFF"/>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7pt,-143.3999pt" to="410.95pt,-143.3999pt" o:allowincell="f" strokecolor="#FFFFFF" strokeweight="0.1398pt"/>
            </w:pict>
          </mc:Fallback>
        </mc:AlternateContent>
        <mc:AlternateContent>
          <mc:Choice Requires="wps">
            <w:drawing>
              <wp:anchor simplePos="0" relativeHeight="251657728" behindDoc="1" locked="0" layoutInCell="0" allowOverlap="1">
                <wp:simplePos x="0" y="0"/>
                <wp:positionH relativeFrom="column">
                  <wp:posOffset>5270500</wp:posOffset>
                </wp:positionH>
                <wp:positionV relativeFrom="paragraph">
                  <wp:posOffset>-1821180</wp:posOffset>
                </wp:positionV>
                <wp:extent cx="160274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02740" cy="4763"/>
                        </a:xfrm>
                        <a:prstGeom prst="line">
                          <a:avLst/>
                        </a:prstGeom>
                        <a:solidFill>
                          <a:srgbClr val="FFFFFF"/>
                        </a:solidFill>
                        <a:ln w="1776">
                          <a:solidFill>
                            <a:srgbClr val="FFFFFF"/>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pt,-143.3999pt" to="541.2pt,-143.3999pt" o:allowincell="f" strokecolor="#FFFFFF" strokeweight="0.1398pt"/>
            </w:pict>
          </mc:Fallback>
        </mc:AlternateContent>
        <mc:AlternateContent>
          <mc:Choice Requires="wps">
            <w:drawing>
              <wp:anchor simplePos="0" relativeHeight="251657728" behindDoc="1" locked="0" layoutInCell="0" allowOverlap="1">
                <wp:simplePos x="0" y="0"/>
                <wp:positionH relativeFrom="column">
                  <wp:posOffset>1920240</wp:posOffset>
                </wp:positionH>
                <wp:positionV relativeFrom="paragraph">
                  <wp:posOffset>-1675130</wp:posOffset>
                </wp:positionV>
                <wp:extent cx="168338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338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1.2pt,-131.8999pt" to="283.75pt,-131.8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15240</wp:posOffset>
                </wp:positionH>
                <wp:positionV relativeFrom="paragraph">
                  <wp:posOffset>-271780</wp:posOffset>
                </wp:positionV>
                <wp:extent cx="685800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65">
                          <a:solidFill>
                            <a:srgbClr val="FFFFFF"/>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pt,-21.3999pt" to="541.2pt,-21.3999pt" o:allowincell="f" strokecolor="#FFFFFF" strokeweight="0.139pt"/>
            </w:pict>
          </mc:Fallback>
        </mc:AlternateConten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Dividend Income from Orchid</w:t>
      </w:r>
    </w:p>
    <w:p>
      <w:pPr>
        <w:spacing w:after="0" w:line="23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We owned 569,071 shares of Orchid common stock throughout each of the years ended December 31, 2025 and 2024. Orchid paid total dividends of $1.44 per share during 2025 and $ 1.44 per share during 2024. During the years ended December 31, 2025 and 2024, we received dividends on our Orchid common stock of approximately $0.8 million and $0.8 million, respectively.</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Long-Term Debt</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Junior Subordinated Debt</w:t>
      </w:r>
    </w:p>
    <w:p>
      <w:pPr>
        <w:spacing w:after="0" w:line="228"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The junior subordinated debt securities pay interest at a floating rate. The interest rate is the CME Term SOFR on the applicable reset date plus the tenor spread adjustment of 0.26161% plus the coupon spread of 3.50%. Interest expense on our junior subordinated debt securities was approximately $2.1 million and $2.4 million for the years ended December 31, 2025 and 2024, respectively. The average rate of interest paid for the year ended December 31, 2025 was 7.94% compared to 8.97% for the year ended December 31, 2024. As of December 31, 2025, the interest rate was 7.48%.</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Note Payable</w:t>
      </w:r>
    </w:p>
    <w:p>
      <w:pPr>
        <w:spacing w:after="0" w:line="229" w:lineRule="exact"/>
        <w:rPr>
          <w:sz w:val="20"/>
          <w:szCs w:val="20"/>
          <w:color w:val="auto"/>
        </w:rPr>
      </w:pPr>
    </w:p>
    <w:p>
      <w:pPr>
        <w:ind w:left="20" w:right="240" w:firstLine="360"/>
        <w:spacing w:after="0" w:line="252" w:lineRule="auto"/>
        <w:rPr>
          <w:sz w:val="20"/>
          <w:szCs w:val="20"/>
          <w:color w:val="auto"/>
        </w:rPr>
      </w:pPr>
      <w:r>
        <w:rPr>
          <w:rFonts w:ascii="Times New Roman" w:cs="Times New Roman" w:eastAsia="Times New Roman" w:hAnsi="Times New Roman"/>
          <w:sz w:val="20"/>
          <w:szCs w:val="20"/>
          <w:color w:val="auto"/>
        </w:rPr>
        <w:t>On October 30, 2019, the Company borrowed $680,000 from a bank. The related note is secured by a mortgage on the Company’s office building and has a final maturity of October 30, 2039. Through October 30, 2024, interest accrued on the note at 4.89%. Thereafter, interest accrues based on the weekly average yield to the United States Treasury securities adjusted to a constant maturity of 5 years, plus 3.25%. The interest rate reset to 7.37% on October 30, 2024 and will reset again on October 30, 2029.</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Gains or Losses and Other Income</w:t>
      </w:r>
    </w:p>
    <w:p>
      <w:pPr>
        <w:spacing w:after="0" w:line="23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table below presents our gains or losses and other income for the years ended December 31, 2025 and 2024.</w:t>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23495</wp:posOffset>
                </wp:positionV>
                <wp:extent cx="685800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pt,1.85pt" to="541.2pt,1.85pt" o:allowincell="f" strokecolor="#FFFFFF" strokeweight="0.14pt"/>
            </w:pict>
          </mc:Fallback>
        </mc:AlternateConten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9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60" w:type="dxa"/>
            <w:vAlign w:val="bottom"/>
            <w:tcBorders>
              <w:top w:val="single" w:sz="8" w:color="auto"/>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87"/>
        </w:trPr>
        <w:tc>
          <w:tcPr>
            <w:tcW w:w="5940" w:type="dxa"/>
            <w:vAlign w:val="bottom"/>
            <w:tcBorders>
              <w:top w:val="single" w:sz="8" w:color="DDDDDD"/>
            </w:tcBorders>
            <w:shd w:val="clear" w:color="auto" w:fill="DDDDDD"/>
          </w:tcPr>
          <w:p>
            <w:pPr>
              <w:spacing w:after="0" w:line="187" w:lineRule="exact"/>
              <w:rPr>
                <w:sz w:val="20"/>
                <w:szCs w:val="20"/>
                <w:color w:val="auto"/>
              </w:rPr>
            </w:pPr>
            <w:r>
              <w:rPr>
                <w:rFonts w:ascii="Times New Roman" w:cs="Times New Roman" w:eastAsia="Times New Roman" w:hAnsi="Times New Roman"/>
                <w:sz w:val="18"/>
                <w:szCs w:val="18"/>
                <w:color w:val="auto"/>
              </w:rPr>
              <w:t>Realized losses on sales of MBS</w:t>
            </w:r>
          </w:p>
        </w:tc>
        <w:tc>
          <w:tcPr>
            <w:tcW w:w="1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800" w:type="dxa"/>
            <w:vAlign w:val="bottom"/>
            <w:tcBorders>
              <w:top w:val="single" w:sz="8" w:color="DDDDDD"/>
            </w:tcBorders>
            <w:shd w:val="clear" w:color="auto" w:fill="DDDDDD"/>
          </w:tcPr>
          <w:p>
            <w:pPr>
              <w:spacing w:after="0"/>
              <w:rPr>
                <w:sz w:val="16"/>
                <w:szCs w:val="16"/>
                <w:color w:val="auto"/>
              </w:rPr>
            </w:pPr>
          </w:p>
        </w:tc>
        <w:tc>
          <w:tcPr>
            <w:tcW w:w="5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840" w:type="dxa"/>
            <w:vAlign w:val="bottom"/>
            <w:tcBorders>
              <w:top w:val="single" w:sz="8" w:color="DDDDDD"/>
            </w:tcBorders>
            <w:shd w:val="clear" w:color="auto" w:fill="DDDDDD"/>
          </w:tcPr>
          <w:p>
            <w:pPr>
              <w:spacing w:after="0"/>
              <w:rPr>
                <w:sz w:val="16"/>
                <w:szCs w:val="16"/>
                <w:color w:val="auto"/>
              </w:rPr>
            </w:pPr>
          </w:p>
        </w:tc>
        <w:tc>
          <w:tcPr>
            <w:tcW w:w="46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top w:val="single" w:sz="8" w:color="DDDDDD"/>
            </w:tcBorders>
            <w:shd w:val="clear" w:color="auto" w:fill="DDDDDD"/>
          </w:tcPr>
          <w:p>
            <w:pPr>
              <w:spacing w:after="0"/>
              <w:rPr>
                <w:sz w:val="16"/>
                <w:szCs w:val="16"/>
                <w:color w:val="auto"/>
              </w:rPr>
            </w:pPr>
          </w:p>
        </w:tc>
        <w:tc>
          <w:tcPr>
            <w:tcW w:w="20" w:type="dxa"/>
            <w:vAlign w:val="bottom"/>
            <w:tcBorders>
              <w:top w:val="single" w:sz="8" w:color="auto"/>
            </w:tcBorders>
            <w:shd w:val="clear" w:color="auto" w:fill="DDDDDD"/>
          </w:tcPr>
          <w:p>
            <w:pPr>
              <w:spacing w:after="0"/>
              <w:rPr>
                <w:sz w:val="16"/>
                <w:szCs w:val="16"/>
                <w:color w:val="auto"/>
              </w:rPr>
            </w:pPr>
          </w:p>
        </w:tc>
      </w:tr>
      <w:tr>
        <w:trPr>
          <w:trHeight w:val="245"/>
        </w:trPr>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Unrealized gains (losses) on MBS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(309 )</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87"/>
        </w:trPr>
        <w:tc>
          <w:tcPr>
            <w:tcW w:w="5940" w:type="dxa"/>
            <w:vAlign w:val="bottom"/>
            <w:tcBorders>
              <w:top w:val="single" w:sz="8" w:color="DDDDDD"/>
            </w:tcBorders>
            <w:shd w:val="clear" w:color="auto" w:fill="DDDDDD"/>
          </w:tcPr>
          <w:p>
            <w:pPr>
              <w:spacing w:after="0" w:line="187" w:lineRule="exact"/>
              <w:rPr>
                <w:sz w:val="20"/>
                <w:szCs w:val="20"/>
                <w:color w:val="auto"/>
              </w:rPr>
            </w:pPr>
            <w:r>
              <w:rPr>
                <w:rFonts w:ascii="Times New Roman" w:cs="Times New Roman" w:eastAsia="Times New Roman" w:hAnsi="Times New Roman"/>
                <w:sz w:val="18"/>
                <w:szCs w:val="18"/>
                <w:color w:val="auto"/>
              </w:rPr>
              <w:t>Total gains (losses) on MBS</w:t>
            </w:r>
          </w:p>
        </w:tc>
        <w:tc>
          <w:tcPr>
            <w:tcW w:w="1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800" w:type="dxa"/>
            <w:vAlign w:val="bottom"/>
            <w:tcBorders>
              <w:top w:val="single" w:sz="8" w:color="DDDDDD"/>
            </w:tcBorders>
            <w:shd w:val="clear" w:color="auto" w:fill="DDDDDD"/>
          </w:tcPr>
          <w:p>
            <w:pPr>
              <w:spacing w:after="0"/>
              <w:rPr>
                <w:sz w:val="16"/>
                <w:szCs w:val="16"/>
                <w:color w:val="auto"/>
              </w:rPr>
            </w:pPr>
          </w:p>
        </w:tc>
        <w:tc>
          <w:tcPr>
            <w:tcW w:w="5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2,469</w:t>
            </w:r>
          </w:p>
        </w:tc>
        <w:tc>
          <w:tcPr>
            <w:tcW w:w="100" w:type="dxa"/>
            <w:vAlign w:val="bottom"/>
            <w:tcBorders>
              <w:top w:val="single" w:sz="8" w:color="DDDDDD"/>
            </w:tcBorders>
            <w:shd w:val="clear" w:color="auto" w:fill="DDDDDD"/>
          </w:tcPr>
          <w:p>
            <w:pPr>
              <w:spacing w:after="0"/>
              <w:rPr>
                <w:sz w:val="16"/>
                <w:szCs w:val="16"/>
                <w:color w:val="auto"/>
              </w:rPr>
            </w:pPr>
          </w:p>
        </w:tc>
        <w:tc>
          <w:tcPr>
            <w:tcW w:w="1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840" w:type="dxa"/>
            <w:vAlign w:val="bottom"/>
            <w:tcBorders>
              <w:top w:val="single" w:sz="8" w:color="DDDDDD"/>
            </w:tcBorders>
            <w:shd w:val="clear" w:color="auto" w:fill="DDDDDD"/>
          </w:tcPr>
          <w:p>
            <w:pPr>
              <w:spacing w:after="0"/>
              <w:rPr>
                <w:sz w:val="16"/>
                <w:szCs w:val="16"/>
                <w:color w:val="auto"/>
              </w:rPr>
            </w:pPr>
          </w:p>
        </w:tc>
        <w:tc>
          <w:tcPr>
            <w:tcW w:w="46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(871</w:t>
            </w:r>
          </w:p>
        </w:tc>
        <w:tc>
          <w:tcPr>
            <w:tcW w:w="1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13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3,340</w:t>
            </w:r>
          </w:p>
        </w:tc>
        <w:tc>
          <w:tcPr>
            <w:tcW w:w="100" w:type="dxa"/>
            <w:vAlign w:val="bottom"/>
            <w:tcBorders>
              <w:top w:val="single" w:sz="8" w:color="DDDDDD"/>
            </w:tcBorders>
            <w:shd w:val="clear" w:color="auto" w:fill="DDDDDD"/>
          </w:tcPr>
          <w:p>
            <w:pPr>
              <w:spacing w:after="0"/>
              <w:rPr>
                <w:sz w:val="16"/>
                <w:szCs w:val="16"/>
                <w:color w:val="auto"/>
              </w:rPr>
            </w:pPr>
          </w:p>
        </w:tc>
        <w:tc>
          <w:tcPr>
            <w:tcW w:w="20" w:type="dxa"/>
            <w:vAlign w:val="bottom"/>
            <w:tcBorders>
              <w:top w:val="single" w:sz="8" w:color="auto"/>
            </w:tcBorders>
            <w:shd w:val="clear" w:color="auto" w:fill="DDDDDD"/>
          </w:tcPr>
          <w:p>
            <w:pPr>
              <w:spacing w:after="0"/>
              <w:rPr>
                <w:sz w:val="16"/>
                <w:szCs w:val="16"/>
                <w:color w:val="auto"/>
              </w:rPr>
            </w:pPr>
          </w:p>
        </w:tc>
      </w:tr>
      <w:tr>
        <w:trPr>
          <w:trHeight w:val="21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(Losses) gains on derivative instruments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(1,934 )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(4,341 )</w:t>
            </w:r>
          </w:p>
        </w:tc>
        <w:tc>
          <w:tcPr>
            <w:tcW w:w="20" w:type="dxa"/>
            <w:vAlign w:val="bottom"/>
          </w:tcPr>
          <w:p>
            <w:pPr>
              <w:spacing w:after="0"/>
              <w:rPr>
                <w:sz w:val="18"/>
                <w:szCs w:val="18"/>
                <w:color w:val="auto"/>
              </w:rPr>
            </w:pPr>
          </w:p>
        </w:tc>
      </w:tr>
      <w:tr>
        <w:trPr>
          <w:trHeight w:val="217"/>
        </w:trPr>
        <w:tc>
          <w:tcPr>
            <w:tcW w:w="594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Unrealized losses on Orchid Island Capital, Inc. common stock</w:t>
            </w:r>
          </w:p>
        </w:tc>
        <w:tc>
          <w:tcPr>
            <w:tcW w:w="12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spacing w:after="0"/>
              <w:rPr>
                <w:sz w:val="18"/>
                <w:szCs w:val="18"/>
                <w:color w:val="auto"/>
              </w:rPr>
            </w:pPr>
          </w:p>
        </w:tc>
        <w:tc>
          <w:tcPr>
            <w:tcW w:w="800" w:type="dxa"/>
            <w:vAlign w:val="bottom"/>
            <w:tcBorders>
              <w:bottom w:val="single" w:sz="8" w:color="auto"/>
            </w:tcBorders>
            <w:shd w:val="clear" w:color="auto" w:fill="DDDDDD"/>
          </w:tcPr>
          <w:p>
            <w:pPr>
              <w:spacing w:after="0"/>
              <w:rPr>
                <w:sz w:val="18"/>
                <w:szCs w:val="18"/>
                <w:color w:val="auto"/>
              </w:rPr>
            </w:pPr>
          </w:p>
        </w:tc>
        <w:tc>
          <w:tcPr>
            <w:tcW w:w="5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spacing w:after="0"/>
              <w:rPr>
                <w:sz w:val="18"/>
                <w:szCs w:val="18"/>
                <w:color w:val="auto"/>
              </w:rPr>
            </w:pPr>
          </w:p>
        </w:tc>
        <w:tc>
          <w:tcPr>
            <w:tcW w:w="840" w:type="dxa"/>
            <w:vAlign w:val="bottom"/>
            <w:tcBorders>
              <w:bottom w:val="single" w:sz="8" w:color="auto"/>
            </w:tcBorders>
            <w:shd w:val="clear" w:color="auto" w:fill="DDDDDD"/>
          </w:tcPr>
          <w:p>
            <w:pPr>
              <w:spacing w:after="0"/>
              <w:rPr>
                <w:sz w:val="18"/>
                <w:szCs w:val="18"/>
                <w:color w:val="auto"/>
              </w:rPr>
            </w:pPr>
          </w:p>
        </w:tc>
        <w:tc>
          <w:tcPr>
            <w:tcW w:w="4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auto"/>
            </w:tcBorders>
            <w:shd w:val="clear" w:color="auto" w:fill="DDDDDD"/>
          </w:tcPr>
          <w:p>
            <w:pPr>
              <w:spacing w:after="0"/>
              <w:rPr>
                <w:sz w:val="18"/>
                <w:szCs w:val="18"/>
                <w:color w:val="auto"/>
              </w:rPr>
            </w:pPr>
          </w:p>
        </w:tc>
        <w:tc>
          <w:tcPr>
            <w:tcW w:w="20" w:type="dxa"/>
            <w:vAlign w:val="bottom"/>
            <w:tcBorders>
              <w:bottom w:val="single" w:sz="8" w:color="auto"/>
            </w:tcBorders>
            <w:shd w:val="clear" w:color="auto" w:fill="DDDDDD"/>
          </w:tcPr>
          <w:p>
            <w:pPr>
              <w:spacing w:after="0"/>
              <w:rPr>
                <w:sz w:val="18"/>
                <w:szCs w:val="18"/>
                <w:color w:val="auto"/>
              </w:rPr>
            </w:pPr>
          </w:p>
        </w:tc>
      </w:tr>
    </w:tbl>
    <w:p>
      <w:pPr>
        <w:spacing w:after="0" w:line="210" w:lineRule="exact"/>
        <w:rPr>
          <w:sz w:val="20"/>
          <w:szCs w:val="20"/>
          <w:color w:val="auto"/>
        </w:rPr>
      </w:pPr>
    </w:p>
    <w:p>
      <w:pPr>
        <w:ind w:left="20" w:firstLine="360"/>
        <w:spacing w:after="0" w:line="247" w:lineRule="auto"/>
        <w:rPr>
          <w:sz w:val="20"/>
          <w:szCs w:val="20"/>
          <w:color w:val="auto"/>
        </w:rPr>
      </w:pPr>
      <w:r>
        <w:rPr>
          <w:rFonts w:ascii="Times New Roman" w:cs="Times New Roman" w:eastAsia="Times New Roman" w:hAnsi="Times New Roman"/>
          <w:sz w:val="20"/>
          <w:szCs w:val="20"/>
          <w:color w:val="auto"/>
        </w:rPr>
        <w:t>We invest in MBS with the intent to earn net income from the realized yield on those assets over their related funding and hedging costs, and not for the purpose of making short term gains from trading in these securities. However, we have sold, and may sell in the future, existing assets to acquire new assets, which our management believes might have higher risk-adjusted returns in light of current or anticipated interest rates, federal government programs or general economic conditions or to manage our balance sheet as part of our asset/liability management strategy. During the year ended December 31, 2025, we received proceeds of $19.5 million from the sales of MBS compared to $46.3 million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820"/>
          </w:cols>
          <w:pgMar w:left="700" w:top="786" w:right="720" w:bottom="135" w:gutter="0" w:footer="0" w:header="0"/>
        </w:sectPr>
      </w:pPr>
    </w:p>
    <w:bookmarkStart w:id="42" w:name="page43"/>
    <w:bookmarkEnd w:id="42"/>
    <w:p>
      <w:pPr>
        <w:ind w:left="20" w:right="60" w:firstLine="360"/>
        <w:spacing w:after="0" w:line="244" w:lineRule="auto"/>
        <w:rPr>
          <w:sz w:val="20"/>
          <w:szCs w:val="20"/>
          <w:color w:val="auto"/>
        </w:rPr>
      </w:pPr>
      <w:r>
        <w:rPr>
          <w:rFonts w:ascii="Times New Roman" w:cs="Times New Roman" w:eastAsia="Times New Roman" w:hAnsi="Times New Roman"/>
          <w:sz w:val="20"/>
          <w:szCs w:val="20"/>
          <w:color w:val="auto"/>
        </w:rPr>
        <w:t>The fair value of our MBS portfolio and derivative instruments, and the gains (losses) reported on those financial instruments, are driven in part by changes in yields and interest rates, the spreads that MBS trade relative to comparable duration U.S. Treasuries or swaps, as well as varying levels of demand for MBS, which affect the pricing of the securities in our portfolio. The unrealized gains and losses on MBS may also include the premium lost as a result of prepayments on the underlying mortgages, decreasing unrealized gains or increasing unrealized losses as prepayment speeds or premiums increase. To the extent MBS are carried at a discount to par, unrealized gains or losses on MBS would also include discount accreted as a result of prepayments on the underlying mortgages, increasing unrealized gains or decreasing unrealized losses as speeds on discounts increase. Gains and losses on interest rate futures contracts are affected by changes in implied forward rates during the reporting period. The table below presents historical interest rate data for each quarter end during 2025 and 2024.</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21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15 Year</w:t>
            </w:r>
          </w:p>
        </w:tc>
        <w:tc>
          <w:tcPr>
            <w:tcW w:w="2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 Year</w:t>
            </w:r>
          </w:p>
        </w:tc>
        <w:tc>
          <w:tcPr>
            <w:tcW w:w="2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90 Day</w:t>
            </w:r>
          </w:p>
        </w:tc>
      </w:tr>
      <w:tr>
        <w:trPr>
          <w:trHeight w:val="217"/>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5 Year</w:t>
            </w:r>
          </w:p>
        </w:tc>
        <w:tc>
          <w:tcPr>
            <w:tcW w:w="2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 Year</w:t>
            </w: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Fixed-Rate</w:t>
            </w:r>
          </w:p>
        </w:tc>
        <w:tc>
          <w:tcPr>
            <w:tcW w:w="2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Fixed-Rate</w:t>
            </w: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60"/>
        </w:trPr>
        <w:tc>
          <w:tcPr>
            <w:tcW w:w="21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Treasury Rate</w:t>
            </w:r>
            <w:r>
              <w:rPr>
                <w:rFonts w:ascii="Times New Roman" w:cs="Times New Roman" w:eastAsia="Times New Roman" w:hAnsi="Times New Roman"/>
                <w:sz w:val="9"/>
                <w:szCs w:val="9"/>
                <w:b w:val="1"/>
                <w:bCs w:val="1"/>
                <w:color w:val="auto"/>
              </w:rPr>
              <w:t>(1)</w:t>
            </w: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Treasury Rate</w:t>
            </w:r>
            <w:r>
              <w:rPr>
                <w:rFonts w:ascii="Times New Roman" w:cs="Times New Roman" w:eastAsia="Times New Roman" w:hAnsi="Times New Roman"/>
                <w:sz w:val="9"/>
                <w:szCs w:val="9"/>
                <w:b w:val="1"/>
                <w:bCs w:val="1"/>
                <w:color w:val="auto"/>
              </w:rPr>
              <w:t>(1)</w:t>
            </w: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Mortgage Rate</w:t>
            </w:r>
            <w:r>
              <w:rPr>
                <w:rFonts w:ascii="Times New Roman" w:cs="Times New Roman" w:eastAsia="Times New Roman" w:hAnsi="Times New Roman"/>
                <w:sz w:val="9"/>
                <w:szCs w:val="9"/>
                <w:b w:val="1"/>
                <w:bCs w:val="1"/>
                <w:color w:val="auto"/>
              </w:rPr>
              <w:t>(2)</w:t>
            </w:r>
          </w:p>
        </w:tc>
        <w:tc>
          <w:tcPr>
            <w:tcW w:w="2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Mortgage Rate</w:t>
            </w:r>
            <w:r>
              <w:rPr>
                <w:rFonts w:ascii="Times New Roman" w:cs="Times New Roman" w:eastAsia="Times New Roman" w:hAnsi="Times New Roman"/>
                <w:sz w:val="9"/>
                <w:szCs w:val="9"/>
                <w:b w:val="1"/>
                <w:bCs w:val="1"/>
                <w:color w:val="auto"/>
              </w:rPr>
              <w:t>(2)</w:t>
            </w: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SOFR</w:t>
            </w:r>
            <w:r>
              <w:rPr>
                <w:rFonts w:ascii="Times New Roman" w:cs="Times New Roman" w:eastAsia="Times New Roman" w:hAnsi="Times New Roman"/>
                <w:sz w:val="9"/>
                <w:szCs w:val="9"/>
                <w:b w:val="1"/>
                <w:bCs w:val="1"/>
                <w:color w:val="auto"/>
                <w:w w:val="99"/>
              </w:rPr>
              <w:t>(3)</w:t>
            </w:r>
          </w:p>
        </w:tc>
      </w:tr>
      <w:tr>
        <w:trPr>
          <w:trHeight w:val="182"/>
        </w:trPr>
        <w:tc>
          <w:tcPr>
            <w:tcW w:w="216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rPr>
              <w:t>December 31, 2025</w:t>
            </w:r>
          </w:p>
        </w:tc>
        <w:tc>
          <w:tcPr>
            <w:tcW w:w="220" w:type="dxa"/>
            <w:vAlign w:val="bottom"/>
            <w:tcBorders>
              <w:top w:val="single" w:sz="8" w:color="DDDDDD"/>
              <w:bottom w:val="single" w:sz="8" w:color="DDDDDD"/>
            </w:tcBorders>
            <w:shd w:val="clear" w:color="auto" w:fill="DDDDDD"/>
          </w:tcPr>
          <w:p>
            <w:pPr>
              <w:spacing w:after="0"/>
              <w:rPr>
                <w:sz w:val="15"/>
                <w:szCs w:val="15"/>
                <w:color w:val="auto"/>
              </w:rPr>
            </w:pPr>
          </w:p>
        </w:tc>
        <w:tc>
          <w:tcPr>
            <w:tcW w:w="1500" w:type="dxa"/>
            <w:vAlign w:val="bottom"/>
            <w:tcBorders>
              <w:top w:val="single" w:sz="8" w:color="DDDDDD"/>
              <w:bottom w:val="single" w:sz="8" w:color="DDDDDD"/>
            </w:tcBorders>
            <w:shd w:val="clear" w:color="auto" w:fill="DDDDDD"/>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3.72%</w:t>
            </w:r>
          </w:p>
        </w:tc>
        <w:tc>
          <w:tcPr>
            <w:tcW w:w="240" w:type="dxa"/>
            <w:vAlign w:val="bottom"/>
            <w:tcBorders>
              <w:top w:val="single" w:sz="8" w:color="DDDDDD"/>
              <w:bottom w:val="single" w:sz="8" w:color="DDDDDD"/>
            </w:tcBorders>
            <w:shd w:val="clear" w:color="auto" w:fill="DDDDDD"/>
          </w:tcPr>
          <w:p>
            <w:pPr>
              <w:spacing w:after="0"/>
              <w:rPr>
                <w:sz w:val="15"/>
                <w:szCs w:val="15"/>
                <w:color w:val="auto"/>
              </w:rPr>
            </w:pPr>
          </w:p>
        </w:tc>
        <w:tc>
          <w:tcPr>
            <w:tcW w:w="1500" w:type="dxa"/>
            <w:vAlign w:val="bottom"/>
            <w:tcBorders>
              <w:top w:val="single" w:sz="8" w:color="DDDDDD"/>
              <w:bottom w:val="single" w:sz="8" w:color="DDDDDD"/>
            </w:tcBorders>
            <w:shd w:val="clear" w:color="auto" w:fill="DDDDDD"/>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4.16%</w:t>
            </w:r>
          </w:p>
        </w:tc>
        <w:tc>
          <w:tcPr>
            <w:tcW w:w="220" w:type="dxa"/>
            <w:vAlign w:val="bottom"/>
            <w:tcBorders>
              <w:top w:val="single" w:sz="8" w:color="DDDDDD"/>
              <w:bottom w:val="single" w:sz="8" w:color="DDDDDD"/>
            </w:tcBorders>
            <w:shd w:val="clear" w:color="auto" w:fill="DDDDDD"/>
          </w:tcPr>
          <w:p>
            <w:pPr>
              <w:spacing w:after="0"/>
              <w:rPr>
                <w:sz w:val="15"/>
                <w:szCs w:val="15"/>
                <w:color w:val="auto"/>
              </w:rPr>
            </w:pPr>
          </w:p>
        </w:tc>
        <w:tc>
          <w:tcPr>
            <w:tcW w:w="1500" w:type="dxa"/>
            <w:vAlign w:val="bottom"/>
            <w:tcBorders>
              <w:top w:val="single" w:sz="8" w:color="DDDDDD"/>
              <w:bottom w:val="single" w:sz="8" w:color="DDDDDD"/>
            </w:tcBorders>
            <w:shd w:val="clear" w:color="auto" w:fill="DDDDDD"/>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5.44%</w:t>
            </w:r>
          </w:p>
        </w:tc>
        <w:tc>
          <w:tcPr>
            <w:tcW w:w="220" w:type="dxa"/>
            <w:vAlign w:val="bottom"/>
            <w:tcBorders>
              <w:top w:val="single" w:sz="8" w:color="DDDDDD"/>
              <w:bottom w:val="single" w:sz="8" w:color="DDDDDD"/>
            </w:tcBorders>
            <w:shd w:val="clear" w:color="auto" w:fill="DDDDDD"/>
          </w:tcPr>
          <w:p>
            <w:pPr>
              <w:spacing w:after="0"/>
              <w:rPr>
                <w:sz w:val="15"/>
                <w:szCs w:val="15"/>
                <w:color w:val="auto"/>
              </w:rPr>
            </w:pPr>
          </w:p>
        </w:tc>
        <w:tc>
          <w:tcPr>
            <w:tcW w:w="1520" w:type="dxa"/>
            <w:vAlign w:val="bottom"/>
            <w:tcBorders>
              <w:top w:val="single" w:sz="8" w:color="DDDDDD"/>
              <w:bottom w:val="single" w:sz="8" w:color="DDDDDD"/>
            </w:tcBorders>
            <w:shd w:val="clear" w:color="auto" w:fill="DDDDDD"/>
          </w:tcPr>
          <w:p>
            <w:pPr>
              <w:jc w:val="center"/>
              <w:spacing w:after="0" w:line="182" w:lineRule="exact"/>
              <w:rPr>
                <w:sz w:val="20"/>
                <w:szCs w:val="20"/>
                <w:color w:val="auto"/>
              </w:rPr>
            </w:pPr>
            <w:r>
              <w:rPr>
                <w:rFonts w:ascii="Times New Roman" w:cs="Times New Roman" w:eastAsia="Times New Roman" w:hAnsi="Times New Roman"/>
                <w:sz w:val="18"/>
                <w:szCs w:val="18"/>
                <w:color w:val="auto"/>
              </w:rPr>
              <w:t>6.15%</w:t>
            </w:r>
          </w:p>
        </w:tc>
        <w:tc>
          <w:tcPr>
            <w:tcW w:w="220" w:type="dxa"/>
            <w:vAlign w:val="bottom"/>
            <w:tcBorders>
              <w:top w:val="single" w:sz="8" w:color="DDDDDD"/>
              <w:bottom w:val="single" w:sz="8" w:color="DDDDDD"/>
            </w:tcBorders>
            <w:shd w:val="clear" w:color="auto" w:fill="DDDDDD"/>
          </w:tcPr>
          <w:p>
            <w:pPr>
              <w:spacing w:after="0"/>
              <w:rPr>
                <w:sz w:val="15"/>
                <w:szCs w:val="15"/>
                <w:color w:val="auto"/>
              </w:rPr>
            </w:pPr>
          </w:p>
        </w:tc>
        <w:tc>
          <w:tcPr>
            <w:tcW w:w="1500" w:type="dxa"/>
            <w:vAlign w:val="bottom"/>
            <w:tcBorders>
              <w:top w:val="single" w:sz="8" w:color="DDDDDD"/>
              <w:bottom w:val="single" w:sz="8" w:color="DDDDDD"/>
            </w:tcBorders>
            <w:shd w:val="clear" w:color="auto" w:fill="DDDDDD"/>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4.01%</w:t>
            </w:r>
          </w:p>
        </w:tc>
      </w:tr>
      <w:tr>
        <w:trPr>
          <w:trHeight w:val="202"/>
        </w:trPr>
        <w:tc>
          <w:tcPr>
            <w:tcW w:w="2160" w:type="dxa"/>
            <w:vAlign w:val="bottom"/>
            <w:tcBorders>
              <w:bottom w:val="single" w:sz="8" w:color="DDDDDD"/>
            </w:tcBorders>
          </w:tcPr>
          <w:p>
            <w:pPr>
              <w:spacing w:after="0" w:line="202" w:lineRule="exact"/>
              <w:rPr>
                <w:sz w:val="20"/>
                <w:szCs w:val="20"/>
                <w:color w:val="auto"/>
              </w:rPr>
            </w:pPr>
            <w:r>
              <w:rPr>
                <w:rFonts w:ascii="Times New Roman" w:cs="Times New Roman" w:eastAsia="Times New Roman" w:hAnsi="Times New Roman"/>
                <w:sz w:val="18"/>
                <w:szCs w:val="18"/>
                <w:color w:val="auto"/>
              </w:rPr>
              <w:t>September 30, 2025</w:t>
            </w:r>
          </w:p>
        </w:tc>
        <w:tc>
          <w:tcPr>
            <w:tcW w:w="1720" w:type="dxa"/>
            <w:vAlign w:val="bottom"/>
            <w:tcBorders>
              <w:bottom w:val="single" w:sz="8" w:color="DDDDDD"/>
            </w:tcBorders>
            <w:gridSpan w:val="2"/>
          </w:tcPr>
          <w:p>
            <w:pPr>
              <w:jc w:val="center"/>
              <w:ind w:left="130"/>
              <w:spacing w:after="0" w:line="202" w:lineRule="exact"/>
              <w:rPr>
                <w:sz w:val="20"/>
                <w:szCs w:val="20"/>
                <w:color w:val="auto"/>
              </w:rPr>
            </w:pPr>
            <w:r>
              <w:rPr>
                <w:rFonts w:ascii="Times New Roman" w:cs="Times New Roman" w:eastAsia="Times New Roman" w:hAnsi="Times New Roman"/>
                <w:sz w:val="18"/>
                <w:szCs w:val="18"/>
                <w:color w:val="auto"/>
                <w:w w:val="98"/>
              </w:rPr>
              <w:t>3.73%</w:t>
            </w:r>
          </w:p>
        </w:tc>
        <w:tc>
          <w:tcPr>
            <w:tcW w:w="1740" w:type="dxa"/>
            <w:vAlign w:val="bottom"/>
            <w:tcBorders>
              <w:bottom w:val="single" w:sz="8" w:color="DDDDDD"/>
            </w:tcBorders>
            <w:gridSpan w:val="2"/>
          </w:tcPr>
          <w:p>
            <w:pPr>
              <w:jc w:val="center"/>
              <w:ind w:left="150"/>
              <w:spacing w:after="0" w:line="202" w:lineRule="exact"/>
              <w:rPr>
                <w:sz w:val="20"/>
                <w:szCs w:val="20"/>
                <w:color w:val="auto"/>
              </w:rPr>
            </w:pPr>
            <w:r>
              <w:rPr>
                <w:rFonts w:ascii="Times New Roman" w:cs="Times New Roman" w:eastAsia="Times New Roman" w:hAnsi="Times New Roman"/>
                <w:sz w:val="18"/>
                <w:szCs w:val="18"/>
                <w:color w:val="auto"/>
                <w:w w:val="98"/>
              </w:rPr>
              <w:t>4.15%</w:t>
            </w:r>
          </w:p>
        </w:tc>
        <w:tc>
          <w:tcPr>
            <w:tcW w:w="1720" w:type="dxa"/>
            <w:vAlign w:val="bottom"/>
            <w:tcBorders>
              <w:bottom w:val="single" w:sz="8" w:color="DDDDDD"/>
            </w:tcBorders>
            <w:gridSpan w:val="2"/>
          </w:tcPr>
          <w:p>
            <w:pPr>
              <w:jc w:val="center"/>
              <w:ind w:left="130"/>
              <w:spacing w:after="0" w:line="202" w:lineRule="exact"/>
              <w:rPr>
                <w:sz w:val="20"/>
                <w:szCs w:val="20"/>
                <w:color w:val="auto"/>
              </w:rPr>
            </w:pPr>
            <w:r>
              <w:rPr>
                <w:rFonts w:ascii="Times New Roman" w:cs="Times New Roman" w:eastAsia="Times New Roman" w:hAnsi="Times New Roman"/>
                <w:sz w:val="18"/>
                <w:szCs w:val="18"/>
                <w:color w:val="auto"/>
                <w:w w:val="98"/>
              </w:rPr>
              <w:t>5.49%</w:t>
            </w:r>
          </w:p>
        </w:tc>
        <w:tc>
          <w:tcPr>
            <w:tcW w:w="1740" w:type="dxa"/>
            <w:vAlign w:val="bottom"/>
            <w:tcBorders>
              <w:bottom w:val="single" w:sz="8" w:color="DDDDDD"/>
            </w:tcBorders>
            <w:gridSpan w:val="2"/>
          </w:tcPr>
          <w:p>
            <w:pPr>
              <w:jc w:val="center"/>
              <w:ind w:left="130"/>
              <w:spacing w:after="0" w:line="202" w:lineRule="exact"/>
              <w:rPr>
                <w:sz w:val="20"/>
                <w:szCs w:val="20"/>
                <w:color w:val="auto"/>
              </w:rPr>
            </w:pPr>
            <w:r>
              <w:rPr>
                <w:rFonts w:ascii="Times New Roman" w:cs="Times New Roman" w:eastAsia="Times New Roman" w:hAnsi="Times New Roman"/>
                <w:sz w:val="18"/>
                <w:szCs w:val="18"/>
                <w:color w:val="auto"/>
              </w:rPr>
              <w:t>6.30%</w:t>
            </w:r>
          </w:p>
        </w:tc>
        <w:tc>
          <w:tcPr>
            <w:tcW w:w="1720" w:type="dxa"/>
            <w:vAlign w:val="bottom"/>
            <w:tcBorders>
              <w:bottom w:val="single" w:sz="8" w:color="DDDDDD"/>
            </w:tcBorders>
            <w:gridSpan w:val="2"/>
          </w:tcPr>
          <w:p>
            <w:pPr>
              <w:jc w:val="center"/>
              <w:ind w:left="130"/>
              <w:spacing w:after="0" w:line="202" w:lineRule="exact"/>
              <w:rPr>
                <w:sz w:val="20"/>
                <w:szCs w:val="20"/>
                <w:color w:val="auto"/>
              </w:rPr>
            </w:pPr>
            <w:r>
              <w:rPr>
                <w:rFonts w:ascii="Times New Roman" w:cs="Times New Roman" w:eastAsia="Times New Roman" w:hAnsi="Times New Roman"/>
                <w:sz w:val="18"/>
                <w:szCs w:val="18"/>
                <w:color w:val="auto"/>
                <w:w w:val="98"/>
              </w:rPr>
              <w:t>4.35%</w:t>
            </w:r>
          </w:p>
        </w:tc>
      </w:tr>
      <w:tr>
        <w:trPr>
          <w:trHeight w:val="192"/>
        </w:trPr>
        <w:tc>
          <w:tcPr>
            <w:tcW w:w="2160" w:type="dxa"/>
            <w:vAlign w:val="bottom"/>
            <w:tcBorders>
              <w:bottom w:val="single" w:sz="8" w:color="DDDDDD"/>
            </w:tcBorders>
            <w:shd w:val="clear" w:color="auto" w:fill="DDDDDD"/>
          </w:tcPr>
          <w:p>
            <w:pPr>
              <w:spacing w:after="0" w:line="193" w:lineRule="exact"/>
              <w:rPr>
                <w:sz w:val="20"/>
                <w:szCs w:val="20"/>
                <w:color w:val="auto"/>
              </w:rPr>
            </w:pPr>
            <w:r>
              <w:rPr>
                <w:rFonts w:ascii="Times New Roman" w:cs="Times New Roman" w:eastAsia="Times New Roman" w:hAnsi="Times New Roman"/>
                <w:sz w:val="18"/>
                <w:szCs w:val="18"/>
                <w:color w:val="auto"/>
              </w:rPr>
              <w:t>June 30, 2025</w:t>
            </w:r>
          </w:p>
        </w:tc>
        <w:tc>
          <w:tcPr>
            <w:tcW w:w="220" w:type="dxa"/>
            <w:vAlign w:val="bottom"/>
            <w:tcBorders>
              <w:bottom w:val="single" w:sz="8" w:color="DDDDDD"/>
            </w:tcBorders>
            <w:shd w:val="clear" w:color="auto" w:fill="DDDDDD"/>
          </w:tcPr>
          <w:p>
            <w:pPr>
              <w:spacing w:after="0"/>
              <w:rPr>
                <w:sz w:val="16"/>
                <w:szCs w:val="16"/>
                <w:color w:val="auto"/>
              </w:rPr>
            </w:pPr>
          </w:p>
        </w:tc>
        <w:tc>
          <w:tcPr>
            <w:tcW w:w="1500" w:type="dxa"/>
            <w:vAlign w:val="bottom"/>
            <w:tcBorders>
              <w:bottom w:val="single" w:sz="8" w:color="DDDDDD"/>
            </w:tcBorders>
            <w:shd w:val="clear" w:color="auto" w:fill="DDDDDD"/>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3.80%</w:t>
            </w:r>
          </w:p>
        </w:tc>
        <w:tc>
          <w:tcPr>
            <w:tcW w:w="240" w:type="dxa"/>
            <w:vAlign w:val="bottom"/>
            <w:tcBorders>
              <w:bottom w:val="single" w:sz="8" w:color="DDDDDD"/>
            </w:tcBorders>
            <w:shd w:val="clear" w:color="auto" w:fill="DDDDDD"/>
          </w:tcPr>
          <w:p>
            <w:pPr>
              <w:spacing w:after="0"/>
              <w:rPr>
                <w:sz w:val="16"/>
                <w:szCs w:val="16"/>
                <w:color w:val="auto"/>
              </w:rPr>
            </w:pPr>
          </w:p>
        </w:tc>
        <w:tc>
          <w:tcPr>
            <w:tcW w:w="1500" w:type="dxa"/>
            <w:vAlign w:val="bottom"/>
            <w:tcBorders>
              <w:bottom w:val="single" w:sz="8" w:color="DDDDDD"/>
            </w:tcBorders>
            <w:shd w:val="clear" w:color="auto" w:fill="DDDDDD"/>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4.23%</w:t>
            </w:r>
          </w:p>
        </w:tc>
        <w:tc>
          <w:tcPr>
            <w:tcW w:w="220" w:type="dxa"/>
            <w:vAlign w:val="bottom"/>
            <w:tcBorders>
              <w:bottom w:val="single" w:sz="8" w:color="DDDDDD"/>
            </w:tcBorders>
            <w:shd w:val="clear" w:color="auto" w:fill="DDDDDD"/>
          </w:tcPr>
          <w:p>
            <w:pPr>
              <w:spacing w:after="0"/>
              <w:rPr>
                <w:sz w:val="16"/>
                <w:szCs w:val="16"/>
                <w:color w:val="auto"/>
              </w:rPr>
            </w:pPr>
          </w:p>
        </w:tc>
        <w:tc>
          <w:tcPr>
            <w:tcW w:w="1500" w:type="dxa"/>
            <w:vAlign w:val="bottom"/>
            <w:tcBorders>
              <w:bottom w:val="single" w:sz="8" w:color="DDDDDD"/>
            </w:tcBorders>
            <w:shd w:val="clear" w:color="auto" w:fill="DDDDDD"/>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5.89%</w:t>
            </w:r>
          </w:p>
        </w:tc>
        <w:tc>
          <w:tcPr>
            <w:tcW w:w="220" w:type="dxa"/>
            <w:vAlign w:val="bottom"/>
            <w:tcBorders>
              <w:bottom w:val="single" w:sz="8" w:color="DDDDDD"/>
            </w:tcBorders>
            <w:shd w:val="clear" w:color="auto" w:fill="DDDDDD"/>
          </w:tcPr>
          <w:p>
            <w:pPr>
              <w:spacing w:after="0"/>
              <w:rPr>
                <w:sz w:val="16"/>
                <w:szCs w:val="16"/>
                <w:color w:val="auto"/>
              </w:rPr>
            </w:pPr>
          </w:p>
        </w:tc>
        <w:tc>
          <w:tcPr>
            <w:tcW w:w="1520" w:type="dxa"/>
            <w:vAlign w:val="bottom"/>
            <w:tcBorders>
              <w:bottom w:val="single" w:sz="8" w:color="DDDDDD"/>
            </w:tcBorders>
            <w:shd w:val="clear" w:color="auto" w:fill="DDDDDD"/>
          </w:tcPr>
          <w:p>
            <w:pPr>
              <w:jc w:val="center"/>
              <w:spacing w:after="0" w:line="193" w:lineRule="exact"/>
              <w:rPr>
                <w:sz w:val="20"/>
                <w:szCs w:val="20"/>
                <w:color w:val="auto"/>
              </w:rPr>
            </w:pPr>
            <w:r>
              <w:rPr>
                <w:rFonts w:ascii="Times New Roman" w:cs="Times New Roman" w:eastAsia="Times New Roman" w:hAnsi="Times New Roman"/>
                <w:sz w:val="18"/>
                <w:szCs w:val="18"/>
                <w:color w:val="auto"/>
              </w:rPr>
              <w:t>6.77%</w:t>
            </w:r>
          </w:p>
        </w:tc>
        <w:tc>
          <w:tcPr>
            <w:tcW w:w="220" w:type="dxa"/>
            <w:vAlign w:val="bottom"/>
            <w:tcBorders>
              <w:bottom w:val="single" w:sz="8" w:color="DDDDDD"/>
            </w:tcBorders>
            <w:shd w:val="clear" w:color="auto" w:fill="DDDDDD"/>
          </w:tcPr>
          <w:p>
            <w:pPr>
              <w:spacing w:after="0"/>
              <w:rPr>
                <w:sz w:val="16"/>
                <w:szCs w:val="16"/>
                <w:color w:val="auto"/>
              </w:rPr>
            </w:pPr>
          </w:p>
        </w:tc>
        <w:tc>
          <w:tcPr>
            <w:tcW w:w="1500" w:type="dxa"/>
            <w:vAlign w:val="bottom"/>
            <w:tcBorders>
              <w:bottom w:val="single" w:sz="8" w:color="DDDDDD"/>
            </w:tcBorders>
            <w:shd w:val="clear" w:color="auto" w:fill="DDDDDD"/>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4.34%</w:t>
            </w:r>
          </w:p>
        </w:tc>
      </w:tr>
      <w:tr>
        <w:trPr>
          <w:trHeight w:val="202"/>
        </w:trPr>
        <w:tc>
          <w:tcPr>
            <w:tcW w:w="2160" w:type="dxa"/>
            <w:vAlign w:val="bottom"/>
            <w:tcBorders>
              <w:bottom w:val="single" w:sz="8" w:color="DDDDDD"/>
            </w:tcBorders>
          </w:tcPr>
          <w:p>
            <w:pPr>
              <w:spacing w:after="0" w:line="202" w:lineRule="exact"/>
              <w:rPr>
                <w:sz w:val="20"/>
                <w:szCs w:val="20"/>
                <w:color w:val="auto"/>
              </w:rPr>
            </w:pPr>
            <w:r>
              <w:rPr>
                <w:rFonts w:ascii="Times New Roman" w:cs="Times New Roman" w:eastAsia="Times New Roman" w:hAnsi="Times New Roman"/>
                <w:sz w:val="18"/>
                <w:szCs w:val="18"/>
                <w:color w:val="auto"/>
              </w:rPr>
              <w:t>March 31, 2025</w:t>
            </w:r>
          </w:p>
        </w:tc>
        <w:tc>
          <w:tcPr>
            <w:tcW w:w="1720" w:type="dxa"/>
            <w:vAlign w:val="bottom"/>
            <w:tcBorders>
              <w:bottom w:val="single" w:sz="8" w:color="DDDDDD"/>
            </w:tcBorders>
            <w:gridSpan w:val="2"/>
          </w:tcPr>
          <w:p>
            <w:pPr>
              <w:jc w:val="center"/>
              <w:ind w:left="130"/>
              <w:spacing w:after="0" w:line="202" w:lineRule="exact"/>
              <w:rPr>
                <w:sz w:val="20"/>
                <w:szCs w:val="20"/>
                <w:color w:val="auto"/>
              </w:rPr>
            </w:pPr>
            <w:r>
              <w:rPr>
                <w:rFonts w:ascii="Times New Roman" w:cs="Times New Roman" w:eastAsia="Times New Roman" w:hAnsi="Times New Roman"/>
                <w:sz w:val="18"/>
                <w:szCs w:val="18"/>
                <w:color w:val="auto"/>
                <w:w w:val="98"/>
              </w:rPr>
              <w:t>3.98%</w:t>
            </w:r>
          </w:p>
        </w:tc>
        <w:tc>
          <w:tcPr>
            <w:tcW w:w="1740" w:type="dxa"/>
            <w:vAlign w:val="bottom"/>
            <w:tcBorders>
              <w:bottom w:val="single" w:sz="8" w:color="DDDDDD"/>
            </w:tcBorders>
            <w:gridSpan w:val="2"/>
          </w:tcPr>
          <w:p>
            <w:pPr>
              <w:jc w:val="center"/>
              <w:ind w:left="150"/>
              <w:spacing w:after="0" w:line="202" w:lineRule="exact"/>
              <w:rPr>
                <w:sz w:val="20"/>
                <w:szCs w:val="20"/>
                <w:color w:val="auto"/>
              </w:rPr>
            </w:pPr>
            <w:r>
              <w:rPr>
                <w:rFonts w:ascii="Times New Roman" w:cs="Times New Roman" w:eastAsia="Times New Roman" w:hAnsi="Times New Roman"/>
                <w:sz w:val="18"/>
                <w:szCs w:val="18"/>
                <w:color w:val="auto"/>
                <w:w w:val="98"/>
              </w:rPr>
              <w:t>4.25%</w:t>
            </w:r>
          </w:p>
        </w:tc>
        <w:tc>
          <w:tcPr>
            <w:tcW w:w="1720" w:type="dxa"/>
            <w:vAlign w:val="bottom"/>
            <w:tcBorders>
              <w:bottom w:val="single" w:sz="8" w:color="DDDDDD"/>
            </w:tcBorders>
            <w:gridSpan w:val="2"/>
          </w:tcPr>
          <w:p>
            <w:pPr>
              <w:jc w:val="center"/>
              <w:ind w:left="130"/>
              <w:spacing w:after="0" w:line="202" w:lineRule="exact"/>
              <w:rPr>
                <w:sz w:val="20"/>
                <w:szCs w:val="20"/>
                <w:color w:val="auto"/>
              </w:rPr>
            </w:pPr>
            <w:r>
              <w:rPr>
                <w:rFonts w:ascii="Times New Roman" w:cs="Times New Roman" w:eastAsia="Times New Roman" w:hAnsi="Times New Roman"/>
                <w:sz w:val="18"/>
                <w:szCs w:val="18"/>
                <w:color w:val="auto"/>
                <w:w w:val="98"/>
              </w:rPr>
              <w:t>5.89%</w:t>
            </w:r>
          </w:p>
        </w:tc>
        <w:tc>
          <w:tcPr>
            <w:tcW w:w="1740" w:type="dxa"/>
            <w:vAlign w:val="bottom"/>
            <w:tcBorders>
              <w:bottom w:val="single" w:sz="8" w:color="DDDDDD"/>
            </w:tcBorders>
            <w:gridSpan w:val="2"/>
          </w:tcPr>
          <w:p>
            <w:pPr>
              <w:jc w:val="center"/>
              <w:ind w:left="130"/>
              <w:spacing w:after="0" w:line="202" w:lineRule="exact"/>
              <w:rPr>
                <w:sz w:val="20"/>
                <w:szCs w:val="20"/>
                <w:color w:val="auto"/>
              </w:rPr>
            </w:pPr>
            <w:r>
              <w:rPr>
                <w:rFonts w:ascii="Times New Roman" w:cs="Times New Roman" w:eastAsia="Times New Roman" w:hAnsi="Times New Roman"/>
                <w:sz w:val="18"/>
                <w:szCs w:val="18"/>
                <w:color w:val="auto"/>
              </w:rPr>
              <w:t>6.65%</w:t>
            </w:r>
          </w:p>
        </w:tc>
        <w:tc>
          <w:tcPr>
            <w:tcW w:w="1720" w:type="dxa"/>
            <w:vAlign w:val="bottom"/>
            <w:tcBorders>
              <w:bottom w:val="single" w:sz="8" w:color="DDDDDD"/>
            </w:tcBorders>
            <w:gridSpan w:val="2"/>
          </w:tcPr>
          <w:p>
            <w:pPr>
              <w:jc w:val="center"/>
              <w:ind w:left="130"/>
              <w:spacing w:after="0" w:line="202" w:lineRule="exact"/>
              <w:rPr>
                <w:sz w:val="20"/>
                <w:szCs w:val="20"/>
                <w:color w:val="auto"/>
              </w:rPr>
            </w:pPr>
            <w:r>
              <w:rPr>
                <w:rFonts w:ascii="Times New Roman" w:cs="Times New Roman" w:eastAsia="Times New Roman" w:hAnsi="Times New Roman"/>
                <w:sz w:val="18"/>
                <w:szCs w:val="18"/>
                <w:color w:val="auto"/>
                <w:w w:val="98"/>
              </w:rPr>
              <w:t>4.35%</w:t>
            </w:r>
          </w:p>
        </w:tc>
      </w:tr>
      <w:tr>
        <w:trPr>
          <w:trHeight w:val="192"/>
        </w:trPr>
        <w:tc>
          <w:tcPr>
            <w:tcW w:w="216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December 31, 2024</w:t>
            </w:r>
          </w:p>
        </w:tc>
        <w:tc>
          <w:tcPr>
            <w:tcW w:w="220" w:type="dxa"/>
            <w:vAlign w:val="bottom"/>
            <w:tcBorders>
              <w:bottom w:val="single" w:sz="8" w:color="DDDDDD"/>
            </w:tcBorders>
            <w:shd w:val="clear" w:color="auto" w:fill="DDDDDD"/>
          </w:tcPr>
          <w:p>
            <w:pPr>
              <w:spacing w:after="0"/>
              <w:rPr>
                <w:sz w:val="16"/>
                <w:szCs w:val="16"/>
                <w:color w:val="auto"/>
              </w:rPr>
            </w:pPr>
          </w:p>
        </w:tc>
        <w:tc>
          <w:tcPr>
            <w:tcW w:w="1500" w:type="dxa"/>
            <w:vAlign w:val="bottom"/>
            <w:tcBorders>
              <w:bottom w:val="single" w:sz="8" w:color="DDDDDD"/>
            </w:tcBorders>
            <w:shd w:val="clear" w:color="auto" w:fill="DDDDDD"/>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4.38%</w:t>
            </w:r>
          </w:p>
        </w:tc>
        <w:tc>
          <w:tcPr>
            <w:tcW w:w="240" w:type="dxa"/>
            <w:vAlign w:val="bottom"/>
            <w:tcBorders>
              <w:bottom w:val="single" w:sz="8" w:color="DDDDDD"/>
            </w:tcBorders>
            <w:shd w:val="clear" w:color="auto" w:fill="DDDDDD"/>
          </w:tcPr>
          <w:p>
            <w:pPr>
              <w:spacing w:after="0"/>
              <w:rPr>
                <w:sz w:val="16"/>
                <w:szCs w:val="16"/>
                <w:color w:val="auto"/>
              </w:rPr>
            </w:pPr>
          </w:p>
        </w:tc>
        <w:tc>
          <w:tcPr>
            <w:tcW w:w="1500" w:type="dxa"/>
            <w:vAlign w:val="bottom"/>
            <w:tcBorders>
              <w:bottom w:val="single" w:sz="8" w:color="DDDDDD"/>
            </w:tcBorders>
            <w:shd w:val="clear" w:color="auto" w:fill="DDDDDD"/>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4.57%</w:t>
            </w:r>
          </w:p>
        </w:tc>
        <w:tc>
          <w:tcPr>
            <w:tcW w:w="220" w:type="dxa"/>
            <w:vAlign w:val="bottom"/>
            <w:tcBorders>
              <w:bottom w:val="single" w:sz="8" w:color="DDDDDD"/>
            </w:tcBorders>
            <w:shd w:val="clear" w:color="auto" w:fill="DDDDDD"/>
          </w:tcPr>
          <w:p>
            <w:pPr>
              <w:spacing w:after="0"/>
              <w:rPr>
                <w:sz w:val="16"/>
                <w:szCs w:val="16"/>
                <w:color w:val="auto"/>
              </w:rPr>
            </w:pPr>
          </w:p>
        </w:tc>
        <w:tc>
          <w:tcPr>
            <w:tcW w:w="1500" w:type="dxa"/>
            <w:vAlign w:val="bottom"/>
            <w:tcBorders>
              <w:bottom w:val="single" w:sz="8" w:color="DDDDDD"/>
            </w:tcBorders>
            <w:shd w:val="clear" w:color="auto" w:fill="DDDDDD"/>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6.00%</w:t>
            </w:r>
          </w:p>
        </w:tc>
        <w:tc>
          <w:tcPr>
            <w:tcW w:w="220" w:type="dxa"/>
            <w:vAlign w:val="bottom"/>
            <w:tcBorders>
              <w:bottom w:val="single" w:sz="8" w:color="DDDDDD"/>
            </w:tcBorders>
            <w:shd w:val="clear" w:color="auto" w:fill="DDDDDD"/>
          </w:tcPr>
          <w:p>
            <w:pPr>
              <w:spacing w:after="0"/>
              <w:rPr>
                <w:sz w:val="16"/>
                <w:szCs w:val="16"/>
                <w:color w:val="auto"/>
              </w:rPr>
            </w:pPr>
          </w:p>
        </w:tc>
        <w:tc>
          <w:tcPr>
            <w:tcW w:w="1520" w:type="dxa"/>
            <w:vAlign w:val="bottom"/>
            <w:tcBorders>
              <w:bottom w:val="single" w:sz="8" w:color="DDDDDD"/>
            </w:tcBorders>
            <w:shd w:val="clear" w:color="auto" w:fill="DDDDDD"/>
          </w:tcPr>
          <w:p>
            <w:pPr>
              <w:jc w:val="center"/>
              <w:spacing w:after="0" w:line="191" w:lineRule="exact"/>
              <w:rPr>
                <w:sz w:val="20"/>
                <w:szCs w:val="20"/>
                <w:color w:val="auto"/>
              </w:rPr>
            </w:pPr>
            <w:r>
              <w:rPr>
                <w:rFonts w:ascii="Times New Roman" w:cs="Times New Roman" w:eastAsia="Times New Roman" w:hAnsi="Times New Roman"/>
                <w:sz w:val="18"/>
                <w:szCs w:val="18"/>
                <w:color w:val="auto"/>
              </w:rPr>
              <w:t>6.85%</w:t>
            </w:r>
          </w:p>
        </w:tc>
        <w:tc>
          <w:tcPr>
            <w:tcW w:w="220" w:type="dxa"/>
            <w:vAlign w:val="bottom"/>
            <w:tcBorders>
              <w:bottom w:val="single" w:sz="8" w:color="DDDDDD"/>
            </w:tcBorders>
            <w:shd w:val="clear" w:color="auto" w:fill="DDDDDD"/>
          </w:tcPr>
          <w:p>
            <w:pPr>
              <w:spacing w:after="0"/>
              <w:rPr>
                <w:sz w:val="16"/>
                <w:szCs w:val="16"/>
                <w:color w:val="auto"/>
              </w:rPr>
            </w:pPr>
          </w:p>
        </w:tc>
        <w:tc>
          <w:tcPr>
            <w:tcW w:w="1500" w:type="dxa"/>
            <w:vAlign w:val="bottom"/>
            <w:tcBorders>
              <w:bottom w:val="single" w:sz="8" w:color="DDDDDD"/>
            </w:tcBorders>
            <w:shd w:val="clear" w:color="auto" w:fill="DDDDDD"/>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4.69%</w:t>
            </w:r>
          </w:p>
        </w:tc>
      </w:tr>
      <w:tr>
        <w:trPr>
          <w:trHeight w:val="201"/>
        </w:trPr>
        <w:tc>
          <w:tcPr>
            <w:tcW w:w="216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rPr>
              <w:t>September 30, 2024</w:t>
            </w:r>
          </w:p>
        </w:tc>
        <w:tc>
          <w:tcPr>
            <w:tcW w:w="1720" w:type="dxa"/>
            <w:vAlign w:val="bottom"/>
            <w:tcBorders>
              <w:bottom w:val="single" w:sz="8" w:color="DDDDDD"/>
            </w:tcBorders>
            <w:gridSpan w:val="2"/>
          </w:tcPr>
          <w:p>
            <w:pPr>
              <w:jc w:val="center"/>
              <w:ind w:left="130"/>
              <w:spacing w:after="0" w:line="201" w:lineRule="exact"/>
              <w:rPr>
                <w:sz w:val="20"/>
                <w:szCs w:val="20"/>
                <w:color w:val="auto"/>
              </w:rPr>
            </w:pPr>
            <w:r>
              <w:rPr>
                <w:rFonts w:ascii="Times New Roman" w:cs="Times New Roman" w:eastAsia="Times New Roman" w:hAnsi="Times New Roman"/>
                <w:sz w:val="18"/>
                <w:szCs w:val="18"/>
                <w:color w:val="auto"/>
                <w:w w:val="98"/>
              </w:rPr>
              <w:t>3.58%</w:t>
            </w:r>
          </w:p>
        </w:tc>
        <w:tc>
          <w:tcPr>
            <w:tcW w:w="1740" w:type="dxa"/>
            <w:vAlign w:val="bottom"/>
            <w:tcBorders>
              <w:bottom w:val="single" w:sz="8" w:color="DDDDDD"/>
            </w:tcBorders>
            <w:gridSpan w:val="2"/>
          </w:tcPr>
          <w:p>
            <w:pPr>
              <w:jc w:val="center"/>
              <w:ind w:left="150"/>
              <w:spacing w:after="0" w:line="201" w:lineRule="exact"/>
              <w:rPr>
                <w:sz w:val="20"/>
                <w:szCs w:val="20"/>
                <w:color w:val="auto"/>
              </w:rPr>
            </w:pPr>
            <w:r>
              <w:rPr>
                <w:rFonts w:ascii="Times New Roman" w:cs="Times New Roman" w:eastAsia="Times New Roman" w:hAnsi="Times New Roman"/>
                <w:sz w:val="18"/>
                <w:szCs w:val="18"/>
                <w:color w:val="auto"/>
                <w:w w:val="98"/>
              </w:rPr>
              <w:t>3.80%</w:t>
            </w:r>
          </w:p>
        </w:tc>
        <w:tc>
          <w:tcPr>
            <w:tcW w:w="1720" w:type="dxa"/>
            <w:vAlign w:val="bottom"/>
            <w:tcBorders>
              <w:bottom w:val="single" w:sz="8" w:color="DDDDDD"/>
            </w:tcBorders>
            <w:gridSpan w:val="2"/>
          </w:tcPr>
          <w:p>
            <w:pPr>
              <w:jc w:val="center"/>
              <w:ind w:left="130"/>
              <w:spacing w:after="0" w:line="201" w:lineRule="exact"/>
              <w:rPr>
                <w:sz w:val="20"/>
                <w:szCs w:val="20"/>
                <w:color w:val="auto"/>
              </w:rPr>
            </w:pPr>
            <w:r>
              <w:rPr>
                <w:rFonts w:ascii="Times New Roman" w:cs="Times New Roman" w:eastAsia="Times New Roman" w:hAnsi="Times New Roman"/>
                <w:sz w:val="18"/>
                <w:szCs w:val="18"/>
                <w:color w:val="auto"/>
                <w:w w:val="98"/>
              </w:rPr>
              <w:t>5.16%</w:t>
            </w:r>
          </w:p>
        </w:tc>
        <w:tc>
          <w:tcPr>
            <w:tcW w:w="1740" w:type="dxa"/>
            <w:vAlign w:val="bottom"/>
            <w:tcBorders>
              <w:bottom w:val="single" w:sz="8" w:color="DDDDDD"/>
            </w:tcBorders>
            <w:gridSpan w:val="2"/>
          </w:tcPr>
          <w:p>
            <w:pPr>
              <w:jc w:val="center"/>
              <w:ind w:left="130"/>
              <w:spacing w:after="0" w:line="201" w:lineRule="exact"/>
              <w:rPr>
                <w:sz w:val="20"/>
                <w:szCs w:val="20"/>
                <w:color w:val="auto"/>
              </w:rPr>
            </w:pPr>
            <w:r>
              <w:rPr>
                <w:rFonts w:ascii="Times New Roman" w:cs="Times New Roman" w:eastAsia="Times New Roman" w:hAnsi="Times New Roman"/>
                <w:sz w:val="18"/>
                <w:szCs w:val="18"/>
                <w:color w:val="auto"/>
              </w:rPr>
              <w:t>6.08%</w:t>
            </w:r>
          </w:p>
        </w:tc>
        <w:tc>
          <w:tcPr>
            <w:tcW w:w="1720" w:type="dxa"/>
            <w:vAlign w:val="bottom"/>
            <w:tcBorders>
              <w:bottom w:val="single" w:sz="8" w:color="DDDDDD"/>
            </w:tcBorders>
            <w:gridSpan w:val="2"/>
          </w:tcPr>
          <w:p>
            <w:pPr>
              <w:jc w:val="center"/>
              <w:ind w:left="130"/>
              <w:spacing w:after="0" w:line="201" w:lineRule="exact"/>
              <w:rPr>
                <w:sz w:val="20"/>
                <w:szCs w:val="20"/>
                <w:color w:val="auto"/>
              </w:rPr>
            </w:pPr>
            <w:r>
              <w:rPr>
                <w:rFonts w:ascii="Times New Roman" w:cs="Times New Roman" w:eastAsia="Times New Roman" w:hAnsi="Times New Roman"/>
                <w:sz w:val="18"/>
                <w:szCs w:val="18"/>
                <w:color w:val="auto"/>
                <w:w w:val="98"/>
              </w:rPr>
              <w:t>5.31%</w:t>
            </w:r>
          </w:p>
        </w:tc>
      </w:tr>
      <w:tr>
        <w:trPr>
          <w:trHeight w:val="192"/>
        </w:trPr>
        <w:tc>
          <w:tcPr>
            <w:tcW w:w="2160" w:type="dxa"/>
            <w:vAlign w:val="bottom"/>
            <w:tcBorders>
              <w:bottom w:val="single" w:sz="8" w:color="DDDDDD"/>
            </w:tcBorders>
            <w:shd w:val="clear" w:color="auto" w:fill="DDDDDD"/>
          </w:tcPr>
          <w:p>
            <w:pPr>
              <w:spacing w:after="0" w:line="193" w:lineRule="exact"/>
              <w:rPr>
                <w:sz w:val="20"/>
                <w:szCs w:val="20"/>
                <w:color w:val="auto"/>
              </w:rPr>
            </w:pPr>
            <w:r>
              <w:rPr>
                <w:rFonts w:ascii="Times New Roman" w:cs="Times New Roman" w:eastAsia="Times New Roman" w:hAnsi="Times New Roman"/>
                <w:sz w:val="18"/>
                <w:szCs w:val="18"/>
                <w:color w:val="auto"/>
              </w:rPr>
              <w:t>June 30, 2024</w:t>
            </w:r>
          </w:p>
        </w:tc>
        <w:tc>
          <w:tcPr>
            <w:tcW w:w="220" w:type="dxa"/>
            <w:vAlign w:val="bottom"/>
            <w:tcBorders>
              <w:bottom w:val="single" w:sz="8" w:color="DDDDDD"/>
            </w:tcBorders>
            <w:shd w:val="clear" w:color="auto" w:fill="DDDDDD"/>
          </w:tcPr>
          <w:p>
            <w:pPr>
              <w:spacing w:after="0"/>
              <w:rPr>
                <w:sz w:val="16"/>
                <w:szCs w:val="16"/>
                <w:color w:val="auto"/>
              </w:rPr>
            </w:pPr>
          </w:p>
        </w:tc>
        <w:tc>
          <w:tcPr>
            <w:tcW w:w="1500" w:type="dxa"/>
            <w:vAlign w:val="bottom"/>
            <w:tcBorders>
              <w:bottom w:val="single" w:sz="8" w:color="DDDDDD"/>
            </w:tcBorders>
            <w:shd w:val="clear" w:color="auto" w:fill="DDDDDD"/>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4.33%</w:t>
            </w:r>
          </w:p>
        </w:tc>
        <w:tc>
          <w:tcPr>
            <w:tcW w:w="240" w:type="dxa"/>
            <w:vAlign w:val="bottom"/>
            <w:tcBorders>
              <w:bottom w:val="single" w:sz="8" w:color="DDDDDD"/>
            </w:tcBorders>
            <w:shd w:val="clear" w:color="auto" w:fill="DDDDDD"/>
          </w:tcPr>
          <w:p>
            <w:pPr>
              <w:spacing w:after="0"/>
              <w:rPr>
                <w:sz w:val="16"/>
                <w:szCs w:val="16"/>
                <w:color w:val="auto"/>
              </w:rPr>
            </w:pPr>
          </w:p>
        </w:tc>
        <w:tc>
          <w:tcPr>
            <w:tcW w:w="1500" w:type="dxa"/>
            <w:vAlign w:val="bottom"/>
            <w:tcBorders>
              <w:bottom w:val="single" w:sz="8" w:color="DDDDDD"/>
            </w:tcBorders>
            <w:shd w:val="clear" w:color="auto" w:fill="DDDDDD"/>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4.34%</w:t>
            </w:r>
          </w:p>
        </w:tc>
        <w:tc>
          <w:tcPr>
            <w:tcW w:w="220" w:type="dxa"/>
            <w:vAlign w:val="bottom"/>
            <w:tcBorders>
              <w:bottom w:val="single" w:sz="8" w:color="DDDDDD"/>
            </w:tcBorders>
            <w:shd w:val="clear" w:color="auto" w:fill="DDDDDD"/>
          </w:tcPr>
          <w:p>
            <w:pPr>
              <w:spacing w:after="0"/>
              <w:rPr>
                <w:sz w:val="16"/>
                <w:szCs w:val="16"/>
                <w:color w:val="auto"/>
              </w:rPr>
            </w:pPr>
          </w:p>
        </w:tc>
        <w:tc>
          <w:tcPr>
            <w:tcW w:w="1500" w:type="dxa"/>
            <w:vAlign w:val="bottom"/>
            <w:tcBorders>
              <w:bottom w:val="single" w:sz="8" w:color="DDDDDD"/>
            </w:tcBorders>
            <w:shd w:val="clear" w:color="auto" w:fill="DDDDDD"/>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6.16%</w:t>
            </w:r>
          </w:p>
        </w:tc>
        <w:tc>
          <w:tcPr>
            <w:tcW w:w="220" w:type="dxa"/>
            <w:vAlign w:val="bottom"/>
            <w:tcBorders>
              <w:bottom w:val="single" w:sz="8" w:color="DDDDDD"/>
            </w:tcBorders>
            <w:shd w:val="clear" w:color="auto" w:fill="DDDDDD"/>
          </w:tcPr>
          <w:p>
            <w:pPr>
              <w:spacing w:after="0"/>
              <w:rPr>
                <w:sz w:val="16"/>
                <w:szCs w:val="16"/>
                <w:color w:val="auto"/>
              </w:rPr>
            </w:pPr>
          </w:p>
        </w:tc>
        <w:tc>
          <w:tcPr>
            <w:tcW w:w="1520" w:type="dxa"/>
            <w:vAlign w:val="bottom"/>
            <w:tcBorders>
              <w:bottom w:val="single" w:sz="8" w:color="DDDDDD"/>
            </w:tcBorders>
            <w:shd w:val="clear" w:color="auto" w:fill="DDDDDD"/>
          </w:tcPr>
          <w:p>
            <w:pPr>
              <w:jc w:val="center"/>
              <w:spacing w:after="0" w:line="193" w:lineRule="exact"/>
              <w:rPr>
                <w:sz w:val="20"/>
                <w:szCs w:val="20"/>
                <w:color w:val="auto"/>
              </w:rPr>
            </w:pPr>
            <w:r>
              <w:rPr>
                <w:rFonts w:ascii="Times New Roman" w:cs="Times New Roman" w:eastAsia="Times New Roman" w:hAnsi="Times New Roman"/>
                <w:sz w:val="18"/>
                <w:szCs w:val="18"/>
                <w:color w:val="auto"/>
              </w:rPr>
              <w:t>6.86%</w:t>
            </w:r>
          </w:p>
        </w:tc>
        <w:tc>
          <w:tcPr>
            <w:tcW w:w="220" w:type="dxa"/>
            <w:vAlign w:val="bottom"/>
            <w:tcBorders>
              <w:bottom w:val="single" w:sz="8" w:color="DDDDDD"/>
            </w:tcBorders>
            <w:shd w:val="clear" w:color="auto" w:fill="DDDDDD"/>
          </w:tcPr>
          <w:p>
            <w:pPr>
              <w:spacing w:after="0"/>
              <w:rPr>
                <w:sz w:val="16"/>
                <w:szCs w:val="16"/>
                <w:color w:val="auto"/>
              </w:rPr>
            </w:pPr>
          </w:p>
        </w:tc>
        <w:tc>
          <w:tcPr>
            <w:tcW w:w="1500" w:type="dxa"/>
            <w:vAlign w:val="bottom"/>
            <w:tcBorders>
              <w:bottom w:val="single" w:sz="8" w:color="DDDDDD"/>
            </w:tcBorders>
            <w:shd w:val="clear" w:color="auto" w:fill="DDDDDD"/>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5.35%</w:t>
            </w:r>
          </w:p>
        </w:tc>
      </w:tr>
      <w:tr>
        <w:trPr>
          <w:trHeight w:val="225"/>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17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4.22%</w:t>
            </w:r>
          </w:p>
        </w:tc>
        <w:tc>
          <w:tcPr>
            <w:tcW w:w="17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8"/>
              </w:rPr>
              <w:t>4.21%</w:t>
            </w:r>
          </w:p>
        </w:tc>
        <w:tc>
          <w:tcPr>
            <w:tcW w:w="17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6.11%</w:t>
            </w:r>
          </w:p>
        </w:tc>
        <w:tc>
          <w:tcPr>
            <w:tcW w:w="17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6.79%</w:t>
            </w:r>
          </w:p>
        </w:tc>
        <w:tc>
          <w:tcPr>
            <w:tcW w:w="17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5.31%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-150495</wp:posOffset>
                </wp:positionV>
                <wp:extent cx="685800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047">
                          <a:solidFill>
                            <a:srgbClr val="FFFFFF"/>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pt,-11.8499pt" to="541.2pt,-11.8499pt" o:allowincell="f" strokecolor="#FFFFFF" strokeweight="0.2399pt"/>
            </w:pict>
          </mc:Fallback>
        </mc:AlternateContent>
      </w:r>
    </w:p>
    <w:p>
      <w:pPr>
        <w:spacing w:after="0" w:line="174" w:lineRule="exact"/>
        <w:rPr>
          <w:sz w:val="20"/>
          <w:szCs w:val="20"/>
          <w:color w:val="auto"/>
        </w:rPr>
      </w:pPr>
    </w:p>
    <w:p>
      <w:pPr>
        <w:ind w:left="380" w:hanging="350"/>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5 Year and 10 Year Treasury Rates are obtained from quoted end of day prices on the Chicago Board Options Exchange.</w:t>
      </w:r>
    </w:p>
    <w:p>
      <w:pPr>
        <w:spacing w:after="0" w:line="33" w:lineRule="exact"/>
        <w:rPr>
          <w:rFonts w:ascii="Times New Roman" w:cs="Times New Roman" w:eastAsia="Times New Roman" w:hAnsi="Times New Roman"/>
          <w:sz w:val="18"/>
          <w:szCs w:val="18"/>
          <w:color w:val="auto"/>
        </w:rPr>
      </w:pPr>
    </w:p>
    <w:p>
      <w:pPr>
        <w:ind w:left="380" w:hanging="350"/>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30 Year and 15 Year Fixed Rate Mortgage Rates are obtained from Freddie Mac’s Primary Mortgage Market Survey.</w:t>
      </w:r>
    </w:p>
    <w:p>
      <w:pPr>
        <w:spacing w:after="0" w:line="10" w:lineRule="exact"/>
        <w:rPr>
          <w:rFonts w:ascii="Times New Roman" w:cs="Times New Roman" w:eastAsia="Times New Roman" w:hAnsi="Times New Roman"/>
          <w:sz w:val="18"/>
          <w:szCs w:val="18"/>
          <w:color w:val="auto"/>
        </w:rPr>
      </w:pPr>
    </w:p>
    <w:p>
      <w:pPr>
        <w:ind w:left="380" w:hanging="350"/>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SOFR is obtained from the Federal Reserve Bank of New York.</w:t>
      </w: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31" w:lineRule="exact"/>
        <w:rPr>
          <w:sz w:val="20"/>
          <w:szCs w:val="20"/>
          <w:color w:val="auto"/>
        </w:rPr>
      </w:pPr>
    </w:p>
    <w:p>
      <w:pPr>
        <w:ind w:left="20" w:right="1160" w:firstLine="360"/>
        <w:spacing w:after="0" w:line="277" w:lineRule="auto"/>
        <w:rPr>
          <w:sz w:val="20"/>
          <w:szCs w:val="20"/>
          <w:color w:val="auto"/>
        </w:rPr>
      </w:pPr>
      <w:r>
        <w:rPr>
          <w:rFonts w:ascii="Times New Roman" w:cs="Times New Roman" w:eastAsia="Times New Roman" w:hAnsi="Times New Roman"/>
          <w:sz w:val="20"/>
          <w:szCs w:val="20"/>
          <w:color w:val="auto"/>
        </w:rPr>
        <w:t>For the year ended December 31, 2025, our total operating expenses were approximately $12.6 million compared to approximately $11.3 million for the year ended December 31, 2024 as detailed in the table below.</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23495</wp:posOffset>
                </wp:positionV>
                <wp:extent cx="685800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pt,1.85pt" to="541.2pt,1.85pt" o:allowincell="f" strokecolor="#FFFFFF" strokeweight="0.1399pt"/>
            </w:pict>
          </mc:Fallback>
        </mc:AlternateConten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9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87"/>
        </w:trPr>
        <w:tc>
          <w:tcPr>
            <w:tcW w:w="5940" w:type="dxa"/>
            <w:vAlign w:val="bottom"/>
            <w:tcBorders>
              <w:top w:val="single" w:sz="8" w:color="DDDDDD"/>
            </w:tcBorders>
            <w:shd w:val="clear" w:color="auto" w:fill="DDDDDD"/>
          </w:tcPr>
          <w:p>
            <w:pPr>
              <w:spacing w:after="0" w:line="187" w:lineRule="exact"/>
              <w:rPr>
                <w:sz w:val="20"/>
                <w:szCs w:val="20"/>
                <w:color w:val="auto"/>
              </w:rPr>
            </w:pPr>
            <w:r>
              <w:rPr>
                <w:rFonts w:ascii="Times New Roman" w:cs="Times New Roman" w:eastAsia="Times New Roman" w:hAnsi="Times New Roman"/>
                <w:sz w:val="18"/>
                <w:szCs w:val="18"/>
                <w:color w:val="auto"/>
              </w:rPr>
              <w:t>Compensation and benefits</w:t>
            </w:r>
          </w:p>
        </w:tc>
        <w:tc>
          <w:tcPr>
            <w:tcW w:w="1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780" w:type="dxa"/>
            <w:vAlign w:val="bottom"/>
            <w:tcBorders>
              <w:top w:val="single" w:sz="8" w:color="DDDDDD"/>
            </w:tcBorders>
            <w:shd w:val="clear" w:color="auto" w:fill="DDDDDD"/>
          </w:tcPr>
          <w:p>
            <w:pPr>
              <w:spacing w:after="0"/>
              <w:rPr>
                <w:sz w:val="16"/>
                <w:szCs w:val="16"/>
                <w:color w:val="auto"/>
              </w:rPr>
            </w:pPr>
          </w:p>
        </w:tc>
        <w:tc>
          <w:tcPr>
            <w:tcW w:w="52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8,310</w:t>
            </w:r>
          </w:p>
        </w:tc>
        <w:tc>
          <w:tcPr>
            <w:tcW w:w="2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7,287</w:t>
            </w:r>
          </w:p>
        </w:tc>
        <w:tc>
          <w:tcPr>
            <w:tcW w:w="2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1,023</w:t>
            </w:r>
          </w:p>
        </w:tc>
        <w:tc>
          <w:tcPr>
            <w:tcW w:w="100" w:type="dxa"/>
            <w:vAlign w:val="bottom"/>
            <w:tcBorders>
              <w:top w:val="single" w:sz="8" w:color="DDDDDD"/>
            </w:tcBorders>
            <w:shd w:val="clear" w:color="auto" w:fill="DDDDDD"/>
          </w:tcPr>
          <w:p>
            <w:pPr>
              <w:spacing w:after="0"/>
              <w:rPr>
                <w:sz w:val="16"/>
                <w:szCs w:val="16"/>
                <w:color w:val="auto"/>
              </w:rPr>
            </w:pPr>
          </w:p>
        </w:tc>
        <w:tc>
          <w:tcPr>
            <w:tcW w:w="20" w:type="dxa"/>
            <w:vAlign w:val="bottom"/>
            <w:tcBorders>
              <w:top w:val="single" w:sz="8" w:color="auto"/>
            </w:tcBorders>
            <w:shd w:val="clear" w:color="auto" w:fill="DDDDDD"/>
          </w:tcPr>
          <w:p>
            <w:pPr>
              <w:spacing w:after="0"/>
              <w:rPr>
                <w:sz w:val="16"/>
                <w:szCs w:val="16"/>
                <w:color w:val="auto"/>
              </w:rPr>
            </w:pPr>
          </w:p>
        </w:tc>
      </w:tr>
      <w:tr>
        <w:trPr>
          <w:trHeight w:val="21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Direct advisory services costs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Audit, legal and other professional fees</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780" w:type="dxa"/>
            <w:vAlign w:val="bottom"/>
            <w:shd w:val="clear" w:color="auto" w:fill="DDDDDD"/>
          </w:tcPr>
          <w:p>
            <w:pPr>
              <w:spacing w:after="0"/>
              <w:rPr>
                <w:sz w:val="18"/>
                <w:szCs w:val="18"/>
                <w:color w:val="auto"/>
              </w:rPr>
            </w:pPr>
          </w:p>
        </w:tc>
        <w:tc>
          <w:tcPr>
            <w:tcW w:w="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1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Directors’ fees and liability insurance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8"/>
        </w:trPr>
        <w:tc>
          <w:tcPr>
            <w:tcW w:w="594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Administrative and other expenses</w:t>
            </w:r>
          </w:p>
        </w:tc>
        <w:tc>
          <w:tcPr>
            <w:tcW w:w="12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spacing w:after="0"/>
              <w:rPr>
                <w:sz w:val="18"/>
                <w:szCs w:val="18"/>
                <w:color w:val="auto"/>
              </w:rPr>
            </w:pPr>
          </w:p>
        </w:tc>
        <w:tc>
          <w:tcPr>
            <w:tcW w:w="780" w:type="dxa"/>
            <w:vAlign w:val="bottom"/>
            <w:tcBorders>
              <w:bottom w:val="single" w:sz="8" w:color="auto"/>
            </w:tcBorders>
            <w:shd w:val="clear" w:color="auto" w:fill="DDDDDD"/>
          </w:tcPr>
          <w:p>
            <w:pPr>
              <w:spacing w:after="0"/>
              <w:rPr>
                <w:sz w:val="18"/>
                <w:szCs w:val="18"/>
                <w:color w:val="auto"/>
              </w:rPr>
            </w:pPr>
          </w:p>
        </w:tc>
        <w:tc>
          <w:tcPr>
            <w:tcW w:w="5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2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2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0" w:type="dxa"/>
            <w:vAlign w:val="bottom"/>
            <w:tcBorders>
              <w:bottom w:val="single" w:sz="8" w:color="auto"/>
            </w:tcBorders>
            <w:shd w:val="clear" w:color="auto" w:fill="DDDDDD"/>
          </w:tcPr>
          <w:p>
            <w:pPr>
              <w:spacing w:after="0"/>
              <w:rPr>
                <w:sz w:val="18"/>
                <w:szCs w:val="18"/>
                <w:color w:val="auto"/>
              </w:rPr>
            </w:pPr>
          </w:p>
        </w:tc>
      </w:tr>
      <w:tr>
        <w:trPr>
          <w:trHeight w:val="228"/>
        </w:trPr>
        <w:tc>
          <w:tcPr>
            <w:tcW w:w="5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12,604</w:t>
            </w: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11,258</w:t>
            </w: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0"/>
        </w:trPr>
        <w:tc>
          <w:tcPr>
            <w:tcW w:w="5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-173990</wp:posOffset>
                </wp:positionV>
                <wp:extent cx="685800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65">
                          <a:solidFill>
                            <a:srgbClr val="FFFFFF"/>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pt,-13.6999pt" to="541.2pt,-13.6999pt" o:allowincell="f" strokecolor="#FFFFFF" strokeweight="0.139pt"/>
            </w:pict>
          </mc:Fallback>
        </mc:AlternateConten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30" w:lineRule="exact"/>
        <w:rPr>
          <w:sz w:val="20"/>
          <w:szCs w:val="20"/>
          <w:color w:val="auto"/>
        </w:rPr>
      </w:pPr>
    </w:p>
    <w:p>
      <w:pPr>
        <w:ind w:right="140" w:firstLine="360"/>
        <w:spacing w:after="0" w:line="243" w:lineRule="auto"/>
        <w:rPr>
          <w:sz w:val="20"/>
          <w:szCs w:val="20"/>
          <w:color w:val="auto"/>
        </w:rPr>
      </w:pPr>
      <w:r>
        <w:rPr>
          <w:rFonts w:ascii="Times New Roman" w:cs="Times New Roman" w:eastAsia="Times New Roman" w:hAnsi="Times New Roman"/>
          <w:sz w:val="20"/>
          <w:szCs w:val="20"/>
          <w:color w:val="auto"/>
        </w:rPr>
        <w:t>In 2025, we recorded an income tax benefit of $1.3 million, including a $3.7 million decrease in the deferred tax asset valuation allowance as a result of management’s reassessment, as of December 31, 2025, of the Company’s ability to utilize tax NOLs to offset future taxable income. During 2025, Orchid raised approximately $741.4 million in new capital. This increase in Orchid's equity should increase Bimini's future management fee revenues, allowing the Company to utilize more of its tax NOLs. In 2024, we recorded an income tax provision of $ 3.1 million, including a $1.3 million increase in the deferred tax asset valuation allowance as a result of management’s reassessment, as of December 31, 2024, of the Company’s ability to utilize NOLs to offset future taxable income. The Company uses the discrete-period computation method for determining its income tax (benefit) provision. Our income tax provision is affected by numerous factors, including non-deductible expenses, the projected utilization of net operating loss carryovers and changes in our deferred tax assets and liabilities and their valuations, and can result in significant variations in the customary relationship between pretax income and income tax expense. Non-deductible expenses, including executive compensation in excess of Section 162(m) limitations increased the income tax provision by $0.8 million and $0.9 million for the years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820"/>
          </w:cols>
          <w:pgMar w:left="700" w:top="785" w:right="720" w:bottom="135"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b w:val="1"/>
          <w:bCs w:val="1"/>
          <w:color w:val="auto"/>
        </w:rPr>
        <w:t>Financial Condition: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Mortgage-Backed Securities</w:t>
      </w:r>
    </w:p>
    <w:p>
      <w:pPr>
        <w:spacing w:after="0" w:line="230" w:lineRule="exact"/>
        <w:rPr>
          <w:sz w:val="20"/>
          <w:szCs w:val="20"/>
          <w:color w:val="auto"/>
        </w:rPr>
      </w:pPr>
    </w:p>
    <w:p>
      <w:pPr>
        <w:ind w:right="300" w:firstLine="360"/>
        <w:spacing w:after="0" w:line="252" w:lineRule="auto"/>
        <w:rPr>
          <w:sz w:val="20"/>
          <w:szCs w:val="20"/>
          <w:color w:val="auto"/>
        </w:rPr>
      </w:pPr>
      <w:r>
        <w:rPr>
          <w:rFonts w:ascii="Times New Roman" w:cs="Times New Roman" w:eastAsia="Times New Roman" w:hAnsi="Times New Roman"/>
          <w:sz w:val="20"/>
          <w:szCs w:val="20"/>
          <w:color w:val="auto"/>
        </w:rPr>
        <w:t>As of December 31, 2025, our MBS portfolio consisted of $88.9 million of agency or government MBS at fair value and had a weighted average coupon of 5.73%. During the year ended December 31, 2025, we received principal repayments of $16.4 million compared to $13.4 million for the year ended December 31, 2024. The average prepayment speeds for the quarters ended December 31, 2025 and 2024 were 16.6% and 11.1%, respectively.</w:t>
      </w:r>
    </w:p>
    <w:p>
      <w:pPr>
        <w:spacing w:after="0" w:line="184" w:lineRule="exact"/>
        <w:rPr>
          <w:sz w:val="20"/>
          <w:szCs w:val="20"/>
          <w:color w:val="auto"/>
        </w:rPr>
      </w:pPr>
    </w:p>
    <w:p>
      <w:pPr>
        <w:ind w:right="140" w:firstLine="360"/>
        <w:spacing w:after="0" w:line="252" w:lineRule="auto"/>
        <w:rPr>
          <w:sz w:val="20"/>
          <w:szCs w:val="20"/>
          <w:color w:val="auto"/>
        </w:rPr>
      </w:pPr>
      <w:r>
        <w:rPr>
          <w:rFonts w:ascii="Times New Roman" w:cs="Times New Roman" w:eastAsia="Times New Roman" w:hAnsi="Times New Roman"/>
          <w:sz w:val="20"/>
          <w:szCs w:val="20"/>
          <w:color w:val="auto"/>
        </w:rPr>
        <w:t>The following table presents the three-month constant prepayment rate (“CPR”) experienced on our portfolio, on an annualized basis, for the quarterly periods presented. CPR is a method of expressing the prepayment rate for a mortgage pool that assumes that a constant fraction of the remaining principal is prepaid each month or year. Specifically, the CPR in the chart below represents the three month prepayment rate of the securities.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60"/>
        </w:trPr>
        <w:tc>
          <w:tcPr>
            <w:tcW w:w="9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Portfolio (%)</w:t>
            </w:r>
          </w:p>
        </w:tc>
      </w:tr>
      <w:tr>
        <w:trPr>
          <w:trHeight w:val="187"/>
        </w:trPr>
        <w:tc>
          <w:tcPr>
            <w:tcW w:w="9180" w:type="dxa"/>
            <w:vAlign w:val="bottom"/>
            <w:tcBorders>
              <w:top w:val="single" w:sz="8" w:color="DDDDDD"/>
            </w:tcBorders>
            <w:shd w:val="clear" w:color="auto" w:fill="DDDDDD"/>
          </w:tcPr>
          <w:p>
            <w:pPr>
              <w:spacing w:after="0" w:line="187" w:lineRule="exact"/>
              <w:rPr>
                <w:sz w:val="20"/>
                <w:szCs w:val="20"/>
                <w:color w:val="auto"/>
              </w:rPr>
            </w:pPr>
            <w:r>
              <w:rPr>
                <w:rFonts w:ascii="Times New Roman" w:cs="Times New Roman" w:eastAsia="Times New Roman" w:hAnsi="Times New Roman"/>
                <w:sz w:val="18"/>
                <w:szCs w:val="18"/>
                <w:color w:val="auto"/>
              </w:rPr>
              <w:t>December 31, 2025</w:t>
            </w:r>
          </w:p>
        </w:tc>
        <w:tc>
          <w:tcPr>
            <w:tcW w:w="220" w:type="dxa"/>
            <w:vAlign w:val="bottom"/>
            <w:tcBorders>
              <w:top w:val="single" w:sz="8" w:color="DDDDDD"/>
            </w:tcBorders>
            <w:shd w:val="clear" w:color="auto" w:fill="DDDDDD"/>
          </w:tcPr>
          <w:p>
            <w:pPr>
              <w:spacing w:after="0"/>
              <w:rPr>
                <w:sz w:val="16"/>
                <w:szCs w:val="16"/>
                <w:color w:val="auto"/>
              </w:rPr>
            </w:pPr>
          </w:p>
        </w:tc>
        <w:tc>
          <w:tcPr>
            <w:tcW w:w="13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top w:val="single" w:sz="8" w:color="DDDDDD"/>
            </w:tcBorders>
            <w:shd w:val="clear" w:color="auto" w:fill="DDDDDD"/>
          </w:tcPr>
          <w:p>
            <w:pPr>
              <w:spacing w:after="0"/>
              <w:rPr>
                <w:sz w:val="16"/>
                <w:szCs w:val="16"/>
                <w:color w:val="auto"/>
              </w:rPr>
            </w:pPr>
          </w:p>
        </w:tc>
        <w:tc>
          <w:tcPr>
            <w:tcW w:w="20" w:type="dxa"/>
            <w:vAlign w:val="bottom"/>
            <w:tcBorders>
              <w:top w:val="single" w:sz="8" w:color="auto"/>
            </w:tcBorders>
            <w:shd w:val="clear" w:color="auto" w:fill="DDDDDD"/>
          </w:tcPr>
          <w:p>
            <w:pPr>
              <w:spacing w:after="0"/>
              <w:rPr>
                <w:sz w:val="16"/>
                <w:szCs w:val="16"/>
                <w:color w:val="auto"/>
              </w:rPr>
            </w:pPr>
          </w:p>
        </w:tc>
      </w:tr>
      <w:tr>
        <w:trPr>
          <w:trHeight w:val="217"/>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91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91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15"/>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0"/>
        </w:trPr>
        <w:tc>
          <w:tcPr>
            <w:tcW w:w="91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220" w:type="dxa"/>
            <w:vAlign w:val="bottom"/>
            <w:shd w:val="clear" w:color="auto" w:fill="DDDDDD"/>
          </w:tcPr>
          <w:p>
            <w:pPr>
              <w:spacing w:after="0"/>
              <w:rPr>
                <w:sz w:val="19"/>
                <w:szCs w:val="19"/>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r>
      <w:tr>
        <w:trPr>
          <w:trHeight w:val="221"/>
        </w:trPr>
        <w:tc>
          <w:tcPr>
            <w:tcW w:w="9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-288290</wp:posOffset>
                </wp:positionV>
                <wp:extent cx="685800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22.6999pt" to="540.2pt,-22.6999pt" o:allowincell="f" strokecolor="#FFFFFF" strokeweight="0.24pt"/>
            </w:pict>
          </mc:Fallback>
        </mc:AlternateConten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tables summarize certain characteristics of our PT MBS and structured MBS as of December 31, 2025 and 2024:</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23495</wp:posOffset>
                </wp:positionV>
                <wp:extent cx="685800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85pt" to="540.2pt,1.85pt" o:allowincell="f" strokecolor="#FFFFFF" strokeweight="0.14pt"/>
            </w:pict>
          </mc:Fallback>
        </mc:AlternateConten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30" w:type="dxa"/>
            <w:vAlign w:val="bottom"/>
            <w:tcBorders>
              <w:top w:val="single" w:sz="8" w:color="auto"/>
            </w:tcBorders>
          </w:tcPr>
          <w:p>
            <w:pPr>
              <w:spacing w:after="0"/>
              <w:rPr>
                <w:sz w:val="16"/>
                <w:szCs w:val="16"/>
                <w:color w:val="auto"/>
              </w:rPr>
            </w:pPr>
          </w:p>
        </w:tc>
        <w:tc>
          <w:tcPr>
            <w:tcW w:w="15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70" w:type="dxa"/>
            <w:vAlign w:val="bottom"/>
            <w:tcBorders>
              <w:top w:val="single" w:sz="8" w:color="auto"/>
            </w:tcBorders>
          </w:tcPr>
          <w:p>
            <w:pPr>
              <w:spacing w:after="0"/>
              <w:rPr>
                <w:sz w:val="16"/>
                <w:szCs w:val="16"/>
                <w:color w:val="auto"/>
              </w:rPr>
            </w:pPr>
          </w:p>
        </w:tc>
        <w:tc>
          <w:tcPr>
            <w:tcW w:w="90" w:type="dxa"/>
            <w:vAlign w:val="bottom"/>
            <w:tcBorders>
              <w:top w:val="single" w:sz="8" w:color="auto"/>
            </w:tcBorders>
          </w:tcPr>
          <w:p>
            <w:pPr>
              <w:spacing w:after="0"/>
              <w:rPr>
                <w:sz w:val="16"/>
                <w:szCs w:val="16"/>
                <w:color w:val="auto"/>
              </w:rPr>
            </w:pPr>
          </w:p>
        </w:tc>
        <w:tc>
          <w:tcPr>
            <w:tcW w:w="155" w:type="dxa"/>
            <w:vAlign w:val="bottom"/>
            <w:tcBorders>
              <w:top w:val="single" w:sz="8" w:color="auto"/>
            </w:tcBorders>
          </w:tcPr>
          <w:p>
            <w:pPr>
              <w:spacing w:after="0"/>
              <w:rPr>
                <w:sz w:val="16"/>
                <w:szCs w:val="16"/>
                <w:color w:val="auto"/>
              </w:rPr>
            </w:pPr>
          </w:p>
        </w:tc>
        <w:tc>
          <w:tcPr>
            <w:tcW w:w="105"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260"/>
              <w:spacing w:after="0" w:line="191"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80" w:type="dxa"/>
            <w:vAlign w:val="bottom"/>
            <w:tcBorders>
              <w:top w:val="single" w:sz="8" w:color="auto"/>
            </w:tcBorders>
          </w:tcPr>
          <w:p>
            <w:pPr>
              <w:spacing w:after="0"/>
              <w:rPr>
                <w:sz w:val="16"/>
                <w:szCs w:val="16"/>
                <w:color w:val="auto"/>
              </w:rPr>
            </w:pPr>
          </w:p>
        </w:tc>
        <w:tc>
          <w:tcPr>
            <w:tcW w:w="970" w:type="dxa"/>
            <w:vAlign w:val="bottom"/>
            <w:tcBorders>
              <w:top w:val="single" w:sz="8" w:color="auto"/>
            </w:tcBorders>
          </w:tcPr>
          <w:p>
            <w:pPr>
              <w:spacing w:after="0"/>
              <w:rPr>
                <w:sz w:val="16"/>
                <w:szCs w:val="16"/>
                <w:color w:val="auto"/>
              </w:rPr>
            </w:pPr>
          </w:p>
        </w:tc>
        <w:tc>
          <w:tcPr>
            <w:tcW w:w="5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217"/>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55" w:type="dxa"/>
            <w:vAlign w:val="bottom"/>
          </w:tcPr>
          <w:p>
            <w:pPr>
              <w:spacing w:after="0"/>
              <w:rPr>
                <w:sz w:val="18"/>
                <w:szCs w:val="18"/>
                <w:color w:val="auto"/>
              </w:rPr>
            </w:pPr>
          </w:p>
        </w:tc>
        <w:tc>
          <w:tcPr>
            <w:tcW w:w="105"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80" w:type="dxa"/>
            <w:vAlign w:val="bottom"/>
          </w:tcPr>
          <w:p>
            <w:pPr>
              <w:spacing w:after="0"/>
              <w:rPr>
                <w:sz w:val="18"/>
                <w:szCs w:val="18"/>
                <w:color w:val="auto"/>
              </w:rPr>
            </w:pPr>
          </w:p>
        </w:tc>
        <w:tc>
          <w:tcPr>
            <w:tcW w:w="97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of</w:t>
            </w:r>
          </w:p>
        </w:tc>
        <w:tc>
          <w:tcPr>
            <w:tcW w:w="220" w:type="dxa"/>
            <w:vAlign w:val="bottom"/>
          </w:tcPr>
          <w:p>
            <w:pPr>
              <w:spacing w:after="0"/>
              <w:rPr>
                <w:sz w:val="18"/>
                <w:szCs w:val="18"/>
                <w:color w:val="auto"/>
              </w:rPr>
            </w:pPr>
          </w:p>
        </w:tc>
        <w:tc>
          <w:tcPr>
            <w:tcW w:w="1275" w:type="dxa"/>
            <w:vAlign w:val="bottom"/>
            <w:gridSpan w:val="4"/>
          </w:tcPr>
          <w:p>
            <w:pPr>
              <w:jc w:val="center"/>
              <w:ind w:right="415"/>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5"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280" w:type="dxa"/>
            <w:vAlign w:val="bottom"/>
          </w:tcPr>
          <w:p>
            <w:pPr>
              <w:spacing w:after="0"/>
              <w:rPr>
                <w:sz w:val="18"/>
                <w:szCs w:val="18"/>
                <w:color w:val="auto"/>
              </w:rPr>
            </w:pPr>
          </w:p>
        </w:tc>
        <w:tc>
          <w:tcPr>
            <w:tcW w:w="97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Fair</w:t>
            </w:r>
          </w:p>
        </w:tc>
        <w:tc>
          <w:tcPr>
            <w:tcW w:w="440" w:type="dxa"/>
            <w:vAlign w:val="bottom"/>
          </w:tcPr>
          <w:p>
            <w:pPr>
              <w:spacing w:after="0"/>
              <w:rPr>
                <w:sz w:val="19"/>
                <w:szCs w:val="19"/>
                <w:color w:val="auto"/>
              </w:rPr>
            </w:pPr>
          </w:p>
        </w:tc>
        <w:tc>
          <w:tcPr>
            <w:tcW w:w="98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7"/>
              </w:rPr>
              <w:t>Entire</w:t>
            </w:r>
          </w:p>
        </w:tc>
        <w:tc>
          <w:tcPr>
            <w:tcW w:w="220" w:type="dxa"/>
            <w:vAlign w:val="bottom"/>
          </w:tcPr>
          <w:p>
            <w:pPr>
              <w:spacing w:after="0"/>
              <w:rPr>
                <w:sz w:val="19"/>
                <w:szCs w:val="19"/>
                <w:color w:val="auto"/>
              </w:rPr>
            </w:pPr>
          </w:p>
        </w:tc>
        <w:tc>
          <w:tcPr>
            <w:tcW w:w="1275" w:type="dxa"/>
            <w:vAlign w:val="bottom"/>
            <w:gridSpan w:val="4"/>
          </w:tcPr>
          <w:p>
            <w:pPr>
              <w:jc w:val="center"/>
              <w:ind w:right="435"/>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5"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w:t>
            </w:r>
          </w:p>
        </w:tc>
        <w:tc>
          <w:tcPr>
            <w:tcW w:w="280" w:type="dxa"/>
            <w:vAlign w:val="bottom"/>
          </w:tcPr>
          <w:p>
            <w:pPr>
              <w:spacing w:after="0"/>
              <w:rPr>
                <w:sz w:val="19"/>
                <w:szCs w:val="19"/>
                <w:color w:val="auto"/>
              </w:rPr>
            </w:pP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Longest</w:t>
            </w:r>
          </w:p>
        </w:tc>
      </w:tr>
      <w:tr>
        <w:trPr>
          <w:trHeight w:val="230"/>
        </w:trPr>
        <w:tc>
          <w:tcPr>
            <w:tcW w:w="4200" w:type="dxa"/>
            <w:vAlign w:val="bottom"/>
            <w:tcBorders>
              <w:bottom w:val="single" w:sz="8" w:color="DDDDDD"/>
            </w:tcBorders>
          </w:tcPr>
          <w:p>
            <w:pPr>
              <w:spacing w:after="0"/>
              <w:rPr>
                <w:sz w:val="19"/>
                <w:szCs w:val="19"/>
                <w:color w:val="auto"/>
              </w:rPr>
            </w:pPr>
          </w:p>
        </w:tc>
        <w:tc>
          <w:tcPr>
            <w:tcW w:w="120" w:type="dxa"/>
            <w:vAlign w:val="bottom"/>
            <w:tcBorders>
              <w:bottom w:val="single" w:sz="8" w:color="DDDDDD"/>
            </w:tcBorders>
          </w:tcPr>
          <w:p>
            <w:pPr>
              <w:spacing w:after="0"/>
              <w:rPr>
                <w:sz w:val="19"/>
                <w:szCs w:val="19"/>
                <w:color w:val="auto"/>
              </w:rPr>
            </w:pPr>
          </w:p>
        </w:tc>
        <w:tc>
          <w:tcPr>
            <w:tcW w:w="80" w:type="dxa"/>
            <w:vAlign w:val="bottom"/>
            <w:tcBorders>
              <w:bottom w:val="single" w:sz="8" w:color="DDDDDD"/>
            </w:tcBorders>
          </w:tcPr>
          <w:p>
            <w:pPr>
              <w:spacing w:after="0"/>
              <w:rPr>
                <w:sz w:val="19"/>
                <w:szCs w:val="19"/>
                <w:color w:val="auto"/>
              </w:rPr>
            </w:pPr>
          </w:p>
        </w:tc>
        <w:tc>
          <w:tcPr>
            <w:tcW w:w="980" w:type="dxa"/>
            <w:vAlign w:val="bottom"/>
            <w:tcBorders>
              <w:bottom w:val="single" w:sz="8" w:color="DDDDDD"/>
            </w:tcBorders>
          </w:tcPr>
          <w:p>
            <w:pPr>
              <w:jc w:val="right"/>
              <w:ind w:right="230"/>
              <w:spacing w:after="0"/>
              <w:rPr>
                <w:sz w:val="20"/>
                <w:szCs w:val="20"/>
                <w:color w:val="auto"/>
              </w:rPr>
            </w:pPr>
            <w:r>
              <w:rPr>
                <w:rFonts w:ascii="Times New Roman" w:cs="Times New Roman" w:eastAsia="Times New Roman" w:hAnsi="Times New Roman"/>
                <w:sz w:val="18"/>
                <w:szCs w:val="18"/>
                <w:color w:val="auto"/>
              </w:rPr>
              <w:t>Value</w:t>
            </w:r>
          </w:p>
        </w:tc>
        <w:tc>
          <w:tcPr>
            <w:tcW w:w="1420" w:type="dxa"/>
            <w:vAlign w:val="bottom"/>
            <w:tcBorders>
              <w:bottom w:val="single" w:sz="8" w:color="DDDDDD"/>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Portfolio</w:t>
            </w:r>
          </w:p>
        </w:tc>
        <w:tc>
          <w:tcPr>
            <w:tcW w:w="220" w:type="dxa"/>
            <w:vAlign w:val="bottom"/>
            <w:tcBorders>
              <w:bottom w:val="single" w:sz="8" w:color="DDDDDD"/>
            </w:tcBorders>
          </w:tcPr>
          <w:p>
            <w:pPr>
              <w:spacing w:after="0"/>
              <w:rPr>
                <w:sz w:val="19"/>
                <w:szCs w:val="19"/>
                <w:color w:val="auto"/>
              </w:rPr>
            </w:pPr>
          </w:p>
        </w:tc>
        <w:tc>
          <w:tcPr>
            <w:tcW w:w="1275" w:type="dxa"/>
            <w:vAlign w:val="bottom"/>
            <w:tcBorders>
              <w:bottom w:val="single" w:sz="8" w:color="DDDDDD"/>
            </w:tcBorders>
            <w:gridSpan w:val="4"/>
          </w:tcPr>
          <w:p>
            <w:pPr>
              <w:jc w:val="center"/>
              <w:ind w:right="415"/>
              <w:spacing w:after="0"/>
              <w:rPr>
                <w:sz w:val="20"/>
                <w:szCs w:val="20"/>
                <w:color w:val="auto"/>
              </w:rPr>
            </w:pPr>
            <w:r>
              <w:rPr>
                <w:rFonts w:ascii="Times New Roman" w:cs="Times New Roman" w:eastAsia="Times New Roman" w:hAnsi="Times New Roman"/>
                <w:sz w:val="18"/>
                <w:szCs w:val="18"/>
                <w:color w:val="auto"/>
              </w:rPr>
              <w:t>Coupon</w:t>
            </w:r>
          </w:p>
        </w:tc>
        <w:tc>
          <w:tcPr>
            <w:tcW w:w="105" w:type="dxa"/>
            <w:vAlign w:val="bottom"/>
            <w:tcBorders>
              <w:bottom w:val="single" w:sz="8" w:color="DDDDDD"/>
            </w:tcBorders>
          </w:tcPr>
          <w:p>
            <w:pPr>
              <w:spacing w:after="0"/>
              <w:rPr>
                <w:sz w:val="19"/>
                <w:szCs w:val="19"/>
                <w:color w:val="auto"/>
              </w:rPr>
            </w:pPr>
          </w:p>
        </w:tc>
        <w:tc>
          <w:tcPr>
            <w:tcW w:w="1000" w:type="dxa"/>
            <w:vAlign w:val="bottom"/>
            <w:tcBorders>
              <w:bottom w:val="single" w:sz="8" w:color="DDDDDD"/>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Months</w:t>
            </w:r>
          </w:p>
        </w:tc>
        <w:tc>
          <w:tcPr>
            <w:tcW w:w="280" w:type="dxa"/>
            <w:vAlign w:val="bottom"/>
            <w:tcBorders>
              <w:bottom w:val="single" w:sz="8" w:color="DDDDDD"/>
            </w:tcBorders>
          </w:tcPr>
          <w:p>
            <w:pPr>
              <w:spacing w:after="0"/>
              <w:rPr>
                <w:sz w:val="19"/>
                <w:szCs w:val="19"/>
                <w:color w:val="auto"/>
              </w:rPr>
            </w:pPr>
          </w:p>
        </w:tc>
        <w:tc>
          <w:tcPr>
            <w:tcW w:w="1120" w:type="dxa"/>
            <w:vAlign w:val="bottom"/>
            <w:tcBorders>
              <w:bottom w:val="single" w:sz="8" w:color="DDDDDD"/>
            </w:tcBorders>
            <w:gridSpan w:val="3"/>
          </w:tcPr>
          <w:p>
            <w:pPr>
              <w:ind w:left="60"/>
              <w:spacing w:after="0"/>
              <w:rPr>
                <w:sz w:val="20"/>
                <w:szCs w:val="20"/>
                <w:color w:val="auto"/>
              </w:rPr>
            </w:pPr>
            <w:r>
              <w:rPr>
                <w:rFonts w:ascii="Times New Roman" w:cs="Times New Roman" w:eastAsia="Times New Roman" w:hAnsi="Times New Roman"/>
                <w:sz w:val="18"/>
                <w:szCs w:val="18"/>
                <w:color w:val="auto"/>
              </w:rPr>
              <w:t>Maturity</w:t>
            </w:r>
          </w:p>
        </w:tc>
      </w:tr>
      <w:tr>
        <w:trPr>
          <w:trHeight w:val="199"/>
        </w:trPr>
        <w:tc>
          <w:tcPr>
            <w:tcW w:w="4200" w:type="dxa"/>
            <w:vAlign w:val="bottom"/>
            <w:tcBorders>
              <w:bottom w:val="single" w:sz="8" w:color="auto"/>
            </w:tcBorders>
            <w:shd w:val="clear" w:color="auto" w:fill="DDDDDD"/>
          </w:tcPr>
          <w:p>
            <w:pPr>
              <w:spacing w:after="0" w:line="193" w:lineRule="exact"/>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tcBorders>
              <w:bottom w:val="single" w:sz="8" w:color="auto"/>
            </w:tcBorders>
            <w:shd w:val="clear" w:color="auto" w:fill="DDDDDD"/>
          </w:tcPr>
          <w:p>
            <w:pPr>
              <w:spacing w:after="0"/>
              <w:rPr>
                <w:sz w:val="17"/>
                <w:szCs w:val="17"/>
                <w:color w:val="auto"/>
              </w:rPr>
            </w:pPr>
          </w:p>
        </w:tc>
        <w:tc>
          <w:tcPr>
            <w:tcW w:w="80" w:type="dxa"/>
            <w:vAlign w:val="bottom"/>
            <w:tcBorders>
              <w:bottom w:val="single" w:sz="8" w:color="auto"/>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980" w:type="dxa"/>
            <w:vAlign w:val="bottom"/>
            <w:tcBorders>
              <w:bottom w:val="single" w:sz="8" w:color="auto"/>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88,929</w:t>
            </w:r>
          </w:p>
        </w:tc>
        <w:tc>
          <w:tcPr>
            <w:tcW w:w="440" w:type="dxa"/>
            <w:vAlign w:val="bottom"/>
            <w:tcBorders>
              <w:bottom w:val="single" w:sz="8" w:color="auto"/>
            </w:tcBorders>
            <w:shd w:val="clear" w:color="auto" w:fill="DDDDDD"/>
          </w:tcPr>
          <w:p>
            <w:pPr>
              <w:spacing w:after="0"/>
              <w:rPr>
                <w:sz w:val="17"/>
                <w:szCs w:val="17"/>
                <w:color w:val="auto"/>
              </w:rPr>
            </w:pPr>
          </w:p>
        </w:tc>
        <w:tc>
          <w:tcPr>
            <w:tcW w:w="830" w:type="dxa"/>
            <w:vAlign w:val="bottom"/>
            <w:tcBorders>
              <w:bottom w:val="single" w:sz="8" w:color="auto"/>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100.0</w:t>
            </w:r>
          </w:p>
        </w:tc>
        <w:tc>
          <w:tcPr>
            <w:tcW w:w="150" w:type="dxa"/>
            <w:vAlign w:val="bottom"/>
            <w:tcBorders>
              <w:bottom w:val="single" w:sz="8" w:color="auto"/>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220" w:type="dxa"/>
            <w:vAlign w:val="bottom"/>
            <w:tcBorders>
              <w:bottom w:val="single" w:sz="8" w:color="auto"/>
            </w:tcBorders>
            <w:shd w:val="clear" w:color="auto" w:fill="DDDDDD"/>
          </w:tcPr>
          <w:p>
            <w:pPr>
              <w:spacing w:after="0"/>
              <w:rPr>
                <w:sz w:val="17"/>
                <w:szCs w:val="17"/>
                <w:color w:val="auto"/>
              </w:rPr>
            </w:pPr>
          </w:p>
        </w:tc>
        <w:tc>
          <w:tcPr>
            <w:tcW w:w="960" w:type="dxa"/>
            <w:vAlign w:val="bottom"/>
            <w:tcBorders>
              <w:bottom w:val="single" w:sz="8" w:color="auto"/>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5.73</w:t>
            </w:r>
          </w:p>
        </w:tc>
        <w:tc>
          <w:tcPr>
            <w:tcW w:w="160" w:type="dxa"/>
            <w:vAlign w:val="bottom"/>
            <w:tcBorders>
              <w:bottom w:val="single" w:sz="8" w:color="auto"/>
            </w:tcBorders>
            <w:gridSpan w:val="2"/>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155" w:type="dxa"/>
            <w:vAlign w:val="bottom"/>
            <w:tcBorders>
              <w:bottom w:val="single" w:sz="8" w:color="auto"/>
            </w:tcBorders>
            <w:shd w:val="clear" w:color="auto" w:fill="DDDDDD"/>
          </w:tcPr>
          <w:p>
            <w:pPr>
              <w:spacing w:after="0"/>
              <w:rPr>
                <w:sz w:val="17"/>
                <w:szCs w:val="17"/>
                <w:color w:val="auto"/>
              </w:rPr>
            </w:pPr>
          </w:p>
        </w:tc>
        <w:tc>
          <w:tcPr>
            <w:tcW w:w="105" w:type="dxa"/>
            <w:vAlign w:val="bottom"/>
            <w:tcBorders>
              <w:bottom w:val="single" w:sz="8" w:color="auto"/>
            </w:tcBorders>
            <w:shd w:val="clear" w:color="auto" w:fill="DDDDDD"/>
          </w:tcPr>
          <w:p>
            <w:pPr>
              <w:spacing w:after="0"/>
              <w:rPr>
                <w:sz w:val="17"/>
                <w:szCs w:val="17"/>
                <w:color w:val="auto"/>
              </w:rPr>
            </w:pPr>
          </w:p>
        </w:tc>
        <w:tc>
          <w:tcPr>
            <w:tcW w:w="910" w:type="dxa"/>
            <w:vAlign w:val="bottom"/>
            <w:tcBorders>
              <w:bottom w:val="single" w:sz="8" w:color="auto"/>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331</w:t>
            </w:r>
          </w:p>
        </w:tc>
        <w:tc>
          <w:tcPr>
            <w:tcW w:w="90" w:type="dxa"/>
            <w:vAlign w:val="bottom"/>
            <w:tcBorders>
              <w:bottom w:val="single" w:sz="8" w:color="auto"/>
            </w:tcBorders>
            <w:shd w:val="clear" w:color="auto" w:fill="DDDDDD"/>
          </w:tcPr>
          <w:p>
            <w:pPr>
              <w:spacing w:after="0"/>
              <w:rPr>
                <w:sz w:val="17"/>
                <w:szCs w:val="17"/>
                <w:color w:val="auto"/>
              </w:rPr>
            </w:pPr>
          </w:p>
        </w:tc>
        <w:tc>
          <w:tcPr>
            <w:tcW w:w="280" w:type="dxa"/>
            <w:vAlign w:val="bottom"/>
            <w:tcBorders>
              <w:bottom w:val="single" w:sz="8" w:color="auto"/>
            </w:tcBorders>
            <w:shd w:val="clear" w:color="auto" w:fill="DDDDDD"/>
          </w:tcPr>
          <w:p>
            <w:pPr>
              <w:spacing w:after="0"/>
              <w:rPr>
                <w:sz w:val="17"/>
                <w:szCs w:val="17"/>
                <w:color w:val="auto"/>
              </w:rPr>
            </w:pPr>
          </w:p>
        </w:tc>
        <w:tc>
          <w:tcPr>
            <w:tcW w:w="1020" w:type="dxa"/>
            <w:vAlign w:val="bottom"/>
            <w:tcBorders>
              <w:bottom w:val="single" w:sz="8" w:color="auto"/>
            </w:tcBorders>
            <w:gridSpan w:val="2"/>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1-Aug-54</w:t>
            </w:r>
          </w:p>
        </w:tc>
        <w:tc>
          <w:tcPr>
            <w:tcW w:w="100" w:type="dxa"/>
            <w:vAlign w:val="bottom"/>
            <w:tcBorders>
              <w:bottom w:val="single" w:sz="8" w:color="auto"/>
            </w:tcBorders>
            <w:shd w:val="clear" w:color="auto" w:fill="DDDDDD"/>
          </w:tcPr>
          <w:p>
            <w:pPr>
              <w:spacing w:after="0"/>
              <w:rPr>
                <w:sz w:val="17"/>
                <w:szCs w:val="17"/>
                <w:color w:val="auto"/>
              </w:rPr>
            </w:pPr>
          </w:p>
        </w:tc>
      </w:tr>
      <w:tr>
        <w:trPr>
          <w:trHeight w:val="237"/>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122,348</w:t>
            </w:r>
          </w:p>
        </w:tc>
        <w:tc>
          <w:tcPr>
            <w:tcW w:w="4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5.26 %</w:t>
            </w:r>
          </w:p>
        </w:tc>
        <w:tc>
          <w:tcPr>
            <w:tcW w:w="155" w:type="dxa"/>
            <w:vAlign w:val="bottom"/>
          </w:tcPr>
          <w:p>
            <w:pPr>
              <w:spacing w:after="0"/>
              <w:rPr>
                <w:sz w:val="20"/>
                <w:szCs w:val="20"/>
                <w:color w:val="auto"/>
              </w:rPr>
            </w:pPr>
          </w:p>
        </w:tc>
        <w:tc>
          <w:tcPr>
            <w:tcW w:w="105" w:type="dxa"/>
            <w:vAlign w:val="bottom"/>
          </w:tcPr>
          <w:p>
            <w:pPr>
              <w:spacing w:after="0"/>
              <w:rPr>
                <w:sz w:val="20"/>
                <w:szCs w:val="20"/>
                <w:color w:val="auto"/>
              </w:rPr>
            </w:pPr>
          </w:p>
        </w:tc>
        <w:tc>
          <w:tcPr>
            <w:tcW w:w="91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9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1-Jan-55</w:t>
            </w:r>
          </w:p>
        </w:tc>
      </w:tr>
      <w:tr>
        <w:trPr>
          <w:trHeight w:val="422"/>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30" w:type="dxa"/>
            <w:vAlign w:val="bottom"/>
            <w:tcBorders>
              <w:bottom w:val="single" w:sz="8" w:color="auto"/>
            </w:tcBorders>
          </w:tcPr>
          <w:p>
            <w:pPr>
              <w:spacing w:after="0"/>
              <w:rPr>
                <w:sz w:val="24"/>
                <w:szCs w:val="24"/>
                <w:color w:val="auto"/>
              </w:rPr>
            </w:pPr>
          </w:p>
        </w:tc>
        <w:tc>
          <w:tcPr>
            <w:tcW w:w="15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0" w:type="dxa"/>
            <w:vAlign w:val="bottom"/>
            <w:tcBorders>
              <w:bottom w:val="single" w:sz="8" w:color="auto"/>
            </w:tcBorders>
          </w:tcPr>
          <w:p>
            <w:pPr>
              <w:spacing w:after="0"/>
              <w:rPr>
                <w:sz w:val="24"/>
                <w:szCs w:val="24"/>
                <w:color w:val="auto"/>
              </w:rPr>
            </w:pPr>
          </w:p>
        </w:tc>
        <w:tc>
          <w:tcPr>
            <w:tcW w:w="90" w:type="dxa"/>
            <w:vAlign w:val="bottom"/>
            <w:tcBorders>
              <w:bottom w:val="single" w:sz="8" w:color="auto"/>
            </w:tcBorders>
          </w:tcPr>
          <w:p>
            <w:pPr>
              <w:spacing w:after="0"/>
              <w:rPr>
                <w:sz w:val="24"/>
                <w:szCs w:val="24"/>
                <w:color w:val="auto"/>
              </w:rPr>
            </w:pPr>
          </w:p>
        </w:tc>
        <w:tc>
          <w:tcPr>
            <w:tcW w:w="155" w:type="dxa"/>
            <w:vAlign w:val="bottom"/>
            <w:tcBorders>
              <w:bottom w:val="single" w:sz="8" w:color="auto"/>
            </w:tcBorders>
          </w:tcPr>
          <w:p>
            <w:pPr>
              <w:spacing w:after="0"/>
              <w:rPr>
                <w:sz w:val="24"/>
                <w:szCs w:val="24"/>
                <w:color w:val="auto"/>
              </w:rPr>
            </w:pPr>
          </w:p>
        </w:tc>
        <w:tc>
          <w:tcPr>
            <w:tcW w:w="105" w:type="dxa"/>
            <w:vAlign w:val="bottom"/>
            <w:tcBorders>
              <w:bottom w:val="single" w:sz="8" w:color="auto"/>
            </w:tcBorders>
          </w:tcPr>
          <w:p>
            <w:pPr>
              <w:spacing w:after="0"/>
              <w:rPr>
                <w:sz w:val="24"/>
                <w:szCs w:val="24"/>
                <w:color w:val="auto"/>
              </w:rPr>
            </w:pPr>
          </w:p>
        </w:tc>
        <w:tc>
          <w:tcPr>
            <w:tcW w:w="910" w:type="dxa"/>
            <w:vAlign w:val="bottom"/>
            <w:tcBorders>
              <w:bottom w:val="single" w:sz="8" w:color="auto"/>
            </w:tcBorders>
          </w:tcPr>
          <w:p>
            <w:pPr>
              <w:spacing w:after="0"/>
              <w:rPr>
                <w:sz w:val="24"/>
                <w:szCs w:val="24"/>
                <w:color w:val="auto"/>
              </w:rPr>
            </w:pPr>
          </w:p>
        </w:tc>
        <w:tc>
          <w:tcPr>
            <w:tcW w:w="9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70" w:type="dxa"/>
            <w:vAlign w:val="bottom"/>
            <w:tcBorders>
              <w:bottom w:val="single" w:sz="8" w:color="auto"/>
            </w:tcBorders>
          </w:tcPr>
          <w:p>
            <w:pPr>
              <w:spacing w:after="0"/>
              <w:rPr>
                <w:sz w:val="24"/>
                <w:szCs w:val="24"/>
                <w:color w:val="auto"/>
              </w:rPr>
            </w:pPr>
          </w:p>
        </w:tc>
        <w:tc>
          <w:tcPr>
            <w:tcW w:w="5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09"/>
        </w:trPr>
        <w:tc>
          <w:tcPr>
            <w:tcW w:w="4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75" w:type="dxa"/>
            <w:vAlign w:val="bottom"/>
            <w:tcBorders>
              <w:bottom w:val="single" w:sz="8" w:color="auto"/>
            </w:tcBorders>
            <w:gridSpan w:val="7"/>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5"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92"/>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30" w:type="dxa"/>
            <w:vAlign w:val="bottom"/>
          </w:tcPr>
          <w:p>
            <w:pPr>
              <w:spacing w:after="0"/>
              <w:rPr>
                <w:sz w:val="16"/>
                <w:szCs w:val="16"/>
                <w:color w:val="auto"/>
              </w:rPr>
            </w:pPr>
          </w:p>
        </w:tc>
        <w:tc>
          <w:tcPr>
            <w:tcW w:w="150" w:type="dxa"/>
            <w:vAlign w:val="bottom"/>
          </w:tcPr>
          <w:p>
            <w:pPr>
              <w:spacing w:after="0"/>
              <w:rPr>
                <w:sz w:val="16"/>
                <w:szCs w:val="16"/>
                <w:color w:val="auto"/>
              </w:rPr>
            </w:pPr>
          </w:p>
        </w:tc>
        <w:tc>
          <w:tcPr>
            <w:tcW w:w="1495" w:type="dxa"/>
            <w:vAlign w:val="bottom"/>
            <w:gridSpan w:val="5"/>
          </w:tcPr>
          <w:p>
            <w:pPr>
              <w:jc w:val="center"/>
              <w:ind w:right="55"/>
              <w:spacing w:after="0" w:line="193"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05" w:type="dxa"/>
            <w:vAlign w:val="bottom"/>
          </w:tcPr>
          <w:p>
            <w:pPr>
              <w:spacing w:after="0"/>
              <w:rPr>
                <w:sz w:val="16"/>
                <w:szCs w:val="16"/>
                <w:color w:val="auto"/>
              </w:rPr>
            </w:pPr>
          </w:p>
        </w:tc>
        <w:tc>
          <w:tcPr>
            <w:tcW w:w="91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1400" w:type="dxa"/>
            <w:vAlign w:val="bottom"/>
            <w:gridSpan w:val="4"/>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rPr>
              <w:t>Percentage of</w:t>
            </w:r>
          </w:p>
        </w:tc>
      </w:tr>
      <w:tr>
        <w:trPr>
          <w:trHeight w:val="206"/>
        </w:trPr>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3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75" w:type="dxa"/>
            <w:vAlign w:val="bottom"/>
            <w:gridSpan w:val="4"/>
          </w:tcPr>
          <w:p>
            <w:pPr>
              <w:jc w:val="center"/>
              <w:ind w:right="295"/>
              <w:spacing w:after="0"/>
              <w:rPr>
                <w:sz w:val="20"/>
                <w:szCs w:val="20"/>
                <w:color w:val="auto"/>
              </w:rPr>
            </w:pPr>
            <w:r>
              <w:rPr>
                <w:rFonts w:ascii="Times New Roman" w:cs="Times New Roman" w:eastAsia="Times New Roman" w:hAnsi="Times New Roman"/>
                <w:sz w:val="18"/>
                <w:szCs w:val="18"/>
                <w:b w:val="1"/>
                <w:bCs w:val="1"/>
                <w:color w:val="auto"/>
              </w:rPr>
              <w:t>Entire</w:t>
            </w:r>
          </w:p>
        </w:tc>
        <w:tc>
          <w:tcPr>
            <w:tcW w:w="105" w:type="dxa"/>
            <w:vAlign w:val="bottom"/>
          </w:tcPr>
          <w:p>
            <w:pPr>
              <w:spacing w:after="0"/>
              <w:rPr>
                <w:sz w:val="17"/>
                <w:szCs w:val="17"/>
                <w:color w:val="auto"/>
              </w:rPr>
            </w:pPr>
          </w:p>
        </w:tc>
        <w:tc>
          <w:tcPr>
            <w:tcW w:w="91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Entire</w:t>
            </w:r>
          </w:p>
        </w:tc>
      </w:tr>
      <w:tr>
        <w:trPr>
          <w:trHeight w:val="235"/>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Agency</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20" w:type="dxa"/>
            <w:vAlign w:val="bottom"/>
            <w:tcBorders>
              <w:bottom w:val="single" w:sz="8" w:color="auto"/>
            </w:tcBorders>
          </w:tcPr>
          <w:p>
            <w:pPr>
              <w:spacing w:after="0"/>
              <w:rPr>
                <w:sz w:val="20"/>
                <w:szCs w:val="20"/>
                <w:color w:val="auto"/>
              </w:rPr>
            </w:pPr>
          </w:p>
        </w:tc>
        <w:tc>
          <w:tcPr>
            <w:tcW w:w="1275" w:type="dxa"/>
            <w:vAlign w:val="bottom"/>
            <w:tcBorders>
              <w:bottom w:val="single" w:sz="8" w:color="auto"/>
            </w:tcBorders>
            <w:gridSpan w:val="4"/>
          </w:tcPr>
          <w:p>
            <w:pPr>
              <w:jc w:val="center"/>
              <w:ind w:right="275"/>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05"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Portfolio</w:t>
            </w:r>
          </w:p>
        </w:tc>
      </w:tr>
      <w:tr>
        <w:trPr>
          <w:trHeight w:val="207"/>
        </w:trPr>
        <w:tc>
          <w:tcPr>
            <w:tcW w:w="420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Fannie Mae</w:t>
            </w:r>
          </w:p>
        </w:tc>
        <w:tc>
          <w:tcPr>
            <w:tcW w:w="12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980" w:type="dxa"/>
            <w:vAlign w:val="bottom"/>
            <w:shd w:val="clear" w:color="auto" w:fill="DDDDDD"/>
          </w:tcPr>
          <w:p>
            <w:pPr>
              <w:spacing w:after="0"/>
              <w:rPr>
                <w:sz w:val="17"/>
                <w:szCs w:val="17"/>
                <w:color w:val="auto"/>
              </w:rPr>
            </w:pPr>
          </w:p>
        </w:tc>
        <w:tc>
          <w:tcPr>
            <w:tcW w:w="4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98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21,924</w:t>
            </w:r>
          </w:p>
        </w:tc>
        <w:tc>
          <w:tcPr>
            <w:tcW w:w="220" w:type="dxa"/>
            <w:vAlign w:val="bottom"/>
            <w:shd w:val="clear" w:color="auto" w:fill="DDDDDD"/>
          </w:tcPr>
          <w:p>
            <w:pPr>
              <w:spacing w:after="0"/>
              <w:rPr>
                <w:sz w:val="17"/>
                <w:szCs w:val="17"/>
                <w:color w:val="auto"/>
              </w:rPr>
            </w:pPr>
          </w:p>
        </w:tc>
        <w:tc>
          <w:tcPr>
            <w:tcW w:w="103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45" w:type="dxa"/>
            <w:vAlign w:val="bottom"/>
            <w:gridSpan w:val="2"/>
            <w:shd w:val="clear" w:color="auto" w:fill="DDDDDD"/>
          </w:tcPr>
          <w:p>
            <w:pPr>
              <w:jc w:val="right"/>
              <w:ind w:right="95"/>
              <w:spacing w:after="0"/>
              <w:rPr>
                <w:sz w:val="20"/>
                <w:szCs w:val="20"/>
                <w:color w:val="auto"/>
              </w:rPr>
            </w:pPr>
            <w:r>
              <w:rPr>
                <w:rFonts w:ascii="Times New Roman" w:cs="Times New Roman" w:eastAsia="Times New Roman" w:hAnsi="Times New Roman"/>
                <w:sz w:val="18"/>
                <w:szCs w:val="18"/>
                <w:color w:val="auto"/>
                <w:highlight w:val="lightGray"/>
                <w:w w:val="79"/>
              </w:rPr>
              <w:t>%</w:t>
            </w:r>
          </w:p>
        </w:tc>
        <w:tc>
          <w:tcPr>
            <w:tcW w:w="105"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w w:val="88"/>
              </w:rPr>
              <w:t>$</w:t>
            </w:r>
          </w:p>
        </w:tc>
        <w:tc>
          <w:tcPr>
            <w:tcW w:w="100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32,692</w:t>
            </w:r>
          </w:p>
        </w:tc>
        <w:tc>
          <w:tcPr>
            <w:tcW w:w="280" w:type="dxa"/>
            <w:vAlign w:val="bottom"/>
            <w:shd w:val="clear" w:color="auto" w:fill="DDDDDD"/>
          </w:tcPr>
          <w:p>
            <w:pPr>
              <w:spacing w:after="0"/>
              <w:rPr>
                <w:sz w:val="17"/>
                <w:szCs w:val="17"/>
                <w:color w:val="auto"/>
              </w:rPr>
            </w:pPr>
          </w:p>
        </w:tc>
        <w:tc>
          <w:tcPr>
            <w:tcW w:w="97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5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w w:val="79"/>
              </w:rPr>
              <w:t>%</w:t>
            </w:r>
          </w:p>
        </w:tc>
      </w:tr>
      <w:tr>
        <w:trPr>
          <w:trHeight w:val="221"/>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Freddie Mac</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67,005</w:t>
            </w:r>
          </w:p>
        </w:tc>
        <w:tc>
          <w:tcPr>
            <w:tcW w:w="1495" w:type="dxa"/>
            <w:vAlign w:val="bottom"/>
            <w:tcBorders>
              <w:bottom w:val="single" w:sz="8" w:color="auto"/>
            </w:tcBorders>
            <w:gridSpan w:val="5"/>
          </w:tcPr>
          <w:p>
            <w:pPr>
              <w:jc w:val="right"/>
              <w:ind w:right="95"/>
              <w:spacing w:after="0"/>
              <w:rPr>
                <w:sz w:val="20"/>
                <w:szCs w:val="20"/>
                <w:color w:val="auto"/>
              </w:rPr>
            </w:pPr>
            <w:r>
              <w:rPr>
                <w:rFonts w:ascii="Times New Roman" w:cs="Times New Roman" w:eastAsia="Times New Roman" w:hAnsi="Times New Roman"/>
                <w:sz w:val="18"/>
                <w:szCs w:val="18"/>
                <w:color w:val="auto"/>
              </w:rPr>
              <w:t>75.3 %</w:t>
            </w:r>
          </w:p>
        </w:tc>
        <w:tc>
          <w:tcPr>
            <w:tcW w:w="105"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89,656</w:t>
            </w: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73.3 %</w:t>
            </w:r>
          </w:p>
        </w:tc>
      </w:tr>
      <w:tr>
        <w:trPr>
          <w:trHeight w:val="230"/>
        </w:trPr>
        <w:tc>
          <w:tcPr>
            <w:tcW w:w="4200" w:type="dxa"/>
            <w:vAlign w:val="bottom"/>
            <w:tcBorders>
              <w:bottom w:val="single" w:sz="8" w:color="DDDDDD"/>
            </w:tcBorders>
            <w:shd w:val="clear" w:color="auto" w:fill="DDDDDD"/>
          </w:tcPr>
          <w:p>
            <w:pPr>
              <w:spacing w:after="0" w:line="202" w:lineRule="exact"/>
              <w:rPr>
                <w:sz w:val="20"/>
                <w:szCs w:val="20"/>
                <w:color w:val="auto"/>
              </w:rPr>
            </w:pPr>
            <w:r>
              <w:rPr>
                <w:rFonts w:ascii="Times New Roman" w:cs="Times New Roman" w:eastAsia="Times New Roman" w:hAnsi="Times New Roman"/>
                <w:sz w:val="18"/>
                <w:szCs w:val="18"/>
                <w:color w:val="auto"/>
              </w:rPr>
              <w:t>Total Portfolio</w:t>
            </w:r>
          </w:p>
        </w:tc>
        <w:tc>
          <w:tcPr>
            <w:tcW w:w="120" w:type="dxa"/>
            <w:vAlign w:val="bottom"/>
            <w:tcBorders>
              <w:bottom w:val="single" w:sz="8" w:color="DDDDDD"/>
            </w:tcBorders>
            <w:shd w:val="clear" w:color="auto" w:fill="DDDDDD"/>
          </w:tcPr>
          <w:p>
            <w:pPr>
              <w:spacing w:after="0"/>
              <w:rPr>
                <w:sz w:val="19"/>
                <w:szCs w:val="19"/>
                <w:color w:val="auto"/>
              </w:rPr>
            </w:pPr>
          </w:p>
        </w:tc>
        <w:tc>
          <w:tcPr>
            <w:tcW w:w="80" w:type="dxa"/>
            <w:vAlign w:val="bottom"/>
            <w:tcBorders>
              <w:bottom w:val="single" w:sz="8" w:color="DDDDDD"/>
            </w:tcBorders>
            <w:shd w:val="clear" w:color="auto" w:fill="DDDDDD"/>
          </w:tcPr>
          <w:p>
            <w:pPr>
              <w:spacing w:after="0"/>
              <w:rPr>
                <w:sz w:val="19"/>
                <w:szCs w:val="19"/>
                <w:color w:val="auto"/>
              </w:rPr>
            </w:pPr>
          </w:p>
        </w:tc>
        <w:tc>
          <w:tcPr>
            <w:tcW w:w="980" w:type="dxa"/>
            <w:vAlign w:val="bottom"/>
            <w:tcBorders>
              <w:bottom w:val="single" w:sz="8" w:color="DDDDDD"/>
            </w:tcBorders>
            <w:shd w:val="clear" w:color="auto" w:fill="DDDDDD"/>
          </w:tcPr>
          <w:p>
            <w:pPr>
              <w:spacing w:after="0"/>
              <w:rPr>
                <w:sz w:val="19"/>
                <w:szCs w:val="19"/>
                <w:color w:val="auto"/>
              </w:rPr>
            </w:pPr>
          </w:p>
        </w:tc>
        <w:tc>
          <w:tcPr>
            <w:tcW w:w="440" w:type="dxa"/>
            <w:vAlign w:val="bottom"/>
            <w:tcBorders>
              <w:bottom w:val="single" w:sz="8" w:color="DDDDDD"/>
            </w:tcBorders>
            <w:shd w:val="clear" w:color="auto" w:fill="DDDDDD"/>
          </w:tcPr>
          <w:p>
            <w:pPr>
              <w:jc w:val="right"/>
              <w:spacing w:after="0" w:line="202" w:lineRule="exact"/>
              <w:rPr>
                <w:sz w:val="20"/>
                <w:szCs w:val="20"/>
                <w:color w:val="auto"/>
              </w:rPr>
            </w:pPr>
            <w:r>
              <w:rPr>
                <w:rFonts w:ascii="Times New Roman" w:cs="Times New Roman" w:eastAsia="Times New Roman" w:hAnsi="Times New Roman"/>
                <w:sz w:val="18"/>
                <w:szCs w:val="18"/>
                <w:color w:val="auto"/>
                <w:highlight w:val="lightGray"/>
              </w:rPr>
              <w:t>$</w:t>
            </w:r>
          </w:p>
        </w:tc>
        <w:tc>
          <w:tcPr>
            <w:tcW w:w="980" w:type="dxa"/>
            <w:vAlign w:val="bottom"/>
            <w:tcBorders>
              <w:bottom w:val="single" w:sz="8" w:color="DDDDDD"/>
            </w:tcBorders>
            <w:gridSpan w:val="2"/>
            <w:shd w:val="clear" w:color="auto" w:fill="DDDDDD"/>
          </w:tcPr>
          <w:p>
            <w:pPr>
              <w:jc w:val="right"/>
              <w:spacing w:after="0" w:line="202" w:lineRule="exact"/>
              <w:rPr>
                <w:sz w:val="20"/>
                <w:szCs w:val="20"/>
                <w:color w:val="auto"/>
              </w:rPr>
            </w:pPr>
            <w:r>
              <w:rPr>
                <w:rFonts w:ascii="Times New Roman" w:cs="Times New Roman" w:eastAsia="Times New Roman" w:hAnsi="Times New Roman"/>
                <w:sz w:val="18"/>
                <w:szCs w:val="18"/>
                <w:color w:val="auto"/>
              </w:rPr>
              <w:t>88,929</w:t>
            </w:r>
          </w:p>
        </w:tc>
        <w:tc>
          <w:tcPr>
            <w:tcW w:w="220" w:type="dxa"/>
            <w:vAlign w:val="bottom"/>
            <w:tcBorders>
              <w:bottom w:val="single" w:sz="8" w:color="DDDDDD"/>
            </w:tcBorders>
            <w:shd w:val="clear" w:color="auto" w:fill="DDDDDD"/>
          </w:tcPr>
          <w:p>
            <w:pPr>
              <w:spacing w:after="0"/>
              <w:rPr>
                <w:sz w:val="19"/>
                <w:szCs w:val="19"/>
                <w:color w:val="auto"/>
              </w:rPr>
            </w:pPr>
          </w:p>
        </w:tc>
        <w:tc>
          <w:tcPr>
            <w:tcW w:w="1030" w:type="dxa"/>
            <w:vAlign w:val="bottom"/>
            <w:tcBorders>
              <w:bottom w:val="single" w:sz="8" w:color="DDDDDD"/>
            </w:tcBorders>
            <w:gridSpan w:val="2"/>
            <w:shd w:val="clear" w:color="auto" w:fill="DDDDDD"/>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245" w:type="dxa"/>
            <w:vAlign w:val="bottom"/>
            <w:tcBorders>
              <w:bottom w:val="single" w:sz="8" w:color="DDDDDD"/>
            </w:tcBorders>
            <w:gridSpan w:val="2"/>
            <w:shd w:val="clear" w:color="auto" w:fill="DDDDDD"/>
          </w:tcPr>
          <w:p>
            <w:pPr>
              <w:jc w:val="right"/>
              <w:ind w:right="95"/>
              <w:spacing w:after="0" w:line="202"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105" w:type="dxa"/>
            <w:vAlign w:val="bottom"/>
            <w:tcBorders>
              <w:bottom w:val="single" w:sz="8" w:color="DDDDDD"/>
            </w:tcBorders>
            <w:shd w:val="clear" w:color="auto" w:fill="DDDDDD"/>
          </w:tcPr>
          <w:p>
            <w:pPr>
              <w:jc w:val="right"/>
              <w:spacing w:after="0" w:line="20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1000" w:type="dxa"/>
            <w:vAlign w:val="bottom"/>
            <w:tcBorders>
              <w:bottom w:val="single" w:sz="8" w:color="DDDDDD"/>
            </w:tcBorders>
            <w:gridSpan w:val="2"/>
            <w:shd w:val="clear" w:color="auto" w:fill="DDDDDD"/>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122,348</w:t>
            </w:r>
          </w:p>
        </w:tc>
        <w:tc>
          <w:tcPr>
            <w:tcW w:w="280" w:type="dxa"/>
            <w:vAlign w:val="bottom"/>
            <w:tcBorders>
              <w:bottom w:val="single" w:sz="8" w:color="DDDDDD"/>
            </w:tcBorders>
            <w:shd w:val="clear" w:color="auto" w:fill="DDDDDD"/>
          </w:tcPr>
          <w:p>
            <w:pPr>
              <w:spacing w:after="0"/>
              <w:rPr>
                <w:sz w:val="19"/>
                <w:szCs w:val="19"/>
                <w:color w:val="auto"/>
              </w:rPr>
            </w:pPr>
          </w:p>
        </w:tc>
        <w:tc>
          <w:tcPr>
            <w:tcW w:w="970" w:type="dxa"/>
            <w:vAlign w:val="bottom"/>
            <w:tcBorders>
              <w:bottom w:val="single" w:sz="8" w:color="DDDDDD"/>
            </w:tcBorders>
            <w:shd w:val="clear" w:color="auto" w:fill="DDDDDD"/>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150" w:type="dxa"/>
            <w:vAlign w:val="bottom"/>
            <w:tcBorders>
              <w:bottom w:val="single" w:sz="8" w:color="DDDDDD"/>
            </w:tcBorders>
            <w:gridSpan w:val="2"/>
            <w:shd w:val="clear" w:color="auto" w:fill="DDDDDD"/>
          </w:tcPr>
          <w:p>
            <w:pPr>
              <w:jc w:val="right"/>
              <w:spacing w:after="0" w:line="202" w:lineRule="exact"/>
              <w:rPr>
                <w:sz w:val="20"/>
                <w:szCs w:val="20"/>
                <w:color w:val="auto"/>
              </w:rPr>
            </w:pPr>
            <w:r>
              <w:rPr>
                <w:rFonts w:ascii="Times New Roman" w:cs="Times New Roman" w:eastAsia="Times New Roman" w:hAnsi="Times New Roman"/>
                <w:sz w:val="18"/>
                <w:szCs w:val="18"/>
                <w:color w:val="auto"/>
                <w:highlight w:val="lightGray"/>
                <w:w w:val="79"/>
              </w:rPr>
              <w:t>%</w:t>
            </w:r>
          </w:p>
        </w:tc>
      </w:tr>
      <w:tr>
        <w:trPr>
          <w:trHeight w:val="20"/>
        </w:trPr>
        <w:tc>
          <w:tcPr>
            <w:tcW w:w="4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30" w:type="dxa"/>
            <w:vAlign w:val="bottom"/>
            <w:tcBorders>
              <w:top w:val="single" w:sz="8" w:color="auto"/>
              <w:bottom w:val="single" w:sz="8" w:color="auto"/>
            </w:tcBorders>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Borders>
              <w:top w:val="single" w:sz="8" w:color="auto"/>
              <w:bottom w:val="single" w:sz="8" w:color="auto"/>
            </w:tcBorders>
          </w:tcPr>
          <w:p>
            <w:pPr>
              <w:spacing w:after="0" w:line="20" w:lineRule="exact"/>
              <w:rPr>
                <w:sz w:val="1"/>
                <w:szCs w:val="1"/>
                <w:color w:val="auto"/>
              </w:rPr>
            </w:pPr>
          </w:p>
        </w:tc>
        <w:tc>
          <w:tcPr>
            <w:tcW w:w="155" w:type="dxa"/>
            <w:vAlign w:val="bottom"/>
            <w:tcBorders>
              <w:top w:val="single" w:sz="8" w:color="auto"/>
              <w:bottom w:val="single" w:sz="8" w:color="auto"/>
            </w:tcBorders>
          </w:tcPr>
          <w:p>
            <w:pPr>
              <w:spacing w:after="0" w:line="20" w:lineRule="exact"/>
              <w:rPr>
                <w:sz w:val="1"/>
                <w:szCs w:val="1"/>
                <w:color w:val="auto"/>
              </w:rPr>
            </w:pPr>
          </w:p>
        </w:tc>
        <w:tc>
          <w:tcPr>
            <w:tcW w:w="105" w:type="dxa"/>
            <w:vAlign w:val="bottom"/>
            <w:tcBorders>
              <w:top w:val="single" w:sz="8" w:color="auto"/>
              <w:bottom w:val="single" w:sz="8" w:color="auto"/>
            </w:tcBorders>
          </w:tcPr>
          <w:p>
            <w:pPr>
              <w:spacing w:after="0" w:line="20" w:lineRule="exact"/>
              <w:rPr>
                <w:sz w:val="1"/>
                <w:szCs w:val="1"/>
                <w:color w:val="auto"/>
              </w:rPr>
            </w:pPr>
          </w:p>
        </w:tc>
        <w:tc>
          <w:tcPr>
            <w:tcW w:w="91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70" w:type="dxa"/>
            <w:vAlign w:val="bottom"/>
            <w:tcBorders>
              <w:top w:val="single" w:sz="8" w:color="auto"/>
              <w:bottom w:val="single" w:sz="8" w:color="auto"/>
            </w:tcBorders>
          </w:tcPr>
          <w:p>
            <w:pPr>
              <w:spacing w:after="0" w:line="20" w:lineRule="exact"/>
              <w:rPr>
                <w:sz w:val="1"/>
                <w:szCs w:val="1"/>
                <w:color w:val="auto"/>
              </w:rPr>
            </w:pPr>
          </w:p>
        </w:tc>
        <w:tc>
          <w:tcPr>
            <w:tcW w:w="5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-1448435</wp:posOffset>
                </wp:positionV>
                <wp:extent cx="685800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14.0499pt" to="540.2pt,-114.0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-1019175</wp:posOffset>
                </wp:positionV>
                <wp:extent cx="685800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80.2499pt" to="540.2pt,-80.2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-873125</wp:posOffset>
                </wp:positionV>
                <wp:extent cx="685800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68.7499pt" to="540.2pt,-68.7499pt" o:allowincell="f" strokecolor="#FFFFFF" strokeweight="0.1399pt"/>
            </w:pict>
          </mc:Fallback>
        </mc:AlternateConten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As of December 31, 2025, the Company's portfolio had an effective duration of 2.23, indicating that an interest rate increase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 would be expected to cause a 2.23% decrease in the value of the MBS in our investment portfolio. As of December 31, 2024, the</w:t>
      </w:r>
    </w:p>
    <w:p>
      <w:pPr>
        <w:spacing w:after="0"/>
        <w:rPr>
          <w:sz w:val="20"/>
          <w:szCs w:val="20"/>
          <w:color w:val="auto"/>
        </w:rPr>
      </w:pPr>
      <w:r>
        <w:rPr>
          <w:rFonts w:ascii="Times New Roman" w:cs="Times New Roman" w:eastAsia="Times New Roman" w:hAnsi="Times New Roman"/>
          <w:sz w:val="20"/>
          <w:szCs w:val="20"/>
          <w:color w:val="auto"/>
        </w:rPr>
        <w:t>Company's portfolio had an effective duration of 3.62, indicating that an interest rate increase of 1.0% would be expected to cause</w:t>
      </w:r>
    </w:p>
    <w:p>
      <w:pPr>
        <w:ind w:right="480"/>
        <w:spacing w:after="0" w:line="249" w:lineRule="auto"/>
        <w:rPr>
          <w:sz w:val="20"/>
          <w:szCs w:val="20"/>
          <w:color w:val="auto"/>
        </w:rPr>
      </w:pPr>
      <w:r>
        <w:rPr>
          <w:rFonts w:ascii="Times New Roman" w:cs="Times New Roman" w:eastAsia="Times New Roman" w:hAnsi="Times New Roman"/>
          <w:sz w:val="20"/>
          <w:szCs w:val="20"/>
          <w:color w:val="auto"/>
        </w:rPr>
        <w:t>a 3.62% decrease in the value of the MBS in our investment portfolio. These figures do not include the effect of our funding cost hedges. Effective duration quotes for individual investments are obtained from The Yield Book, Inc.</w:t>
      </w:r>
    </w:p>
    <w:p>
      <w:pPr>
        <w:spacing w:after="0" w:line="185" w:lineRule="exact"/>
        <w:rPr>
          <w:sz w:val="20"/>
          <w:szCs w:val="20"/>
          <w:color w:val="auto"/>
        </w:rPr>
      </w:pPr>
    </w:p>
    <w:p>
      <w:pPr>
        <w:ind w:right="40" w:firstLine="360"/>
        <w:spacing w:after="0" w:line="246" w:lineRule="auto"/>
        <w:rPr>
          <w:sz w:val="20"/>
          <w:szCs w:val="20"/>
          <w:color w:val="auto"/>
        </w:rPr>
      </w:pPr>
      <w:r>
        <w:rPr>
          <w:rFonts w:ascii="Times New Roman" w:cs="Times New Roman" w:eastAsia="Times New Roman" w:hAnsi="Times New Roman"/>
          <w:sz w:val="20"/>
          <w:szCs w:val="20"/>
          <w:color w:val="auto"/>
        </w:rPr>
        <w:t>Our portfolio of PT MBS is typically comprised of adjustable-rate MBS, fixed-rate MBS and hybrid adjustable-rate MBS. We generally seek to acquire low duration assets that offer high levels of protection from mortgage prepayments provided that they are reasonably priced by the market. The stated contractual final maturity of the mortgage loans underlying our portfolio of PT MBS generally ranges up to 30 years. However, the effect of prepayments of the underlying mortgage loans tends to shorten the resulting cash flows from our investments substantially. Prepayments occur for various reasons, including refinancing of underlying mortgages, loan payoffs in connection with home sales, and borrowers paying more than their scheduled loan payments, which accelerates the amortization of the loans.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800"/>
          </w:cols>
          <w:pgMar w:left="720" w:top="781" w:right="720" w:bottom="135" w:gutter="0" w:footer="0" w:header="0"/>
        </w:sectPr>
      </w:pPr>
    </w:p>
    <w:bookmarkStart w:id="44" w:name="page45"/>
    <w:bookmarkEnd w:id="44"/>
    <w:p>
      <w:pPr>
        <w:ind w:right="40" w:firstLine="360"/>
        <w:spacing w:after="0" w:line="247" w:lineRule="auto"/>
        <w:rPr>
          <w:sz w:val="20"/>
          <w:szCs w:val="20"/>
          <w:color w:val="auto"/>
        </w:rPr>
      </w:pPr>
      <w:r>
        <w:rPr>
          <w:rFonts w:ascii="Times New Roman" w:cs="Times New Roman" w:eastAsia="Times New Roman" w:hAnsi="Times New Roman"/>
          <w:sz w:val="20"/>
          <w:szCs w:val="20"/>
          <w:color w:val="auto"/>
        </w:rPr>
        <w:t>The duration of our IO and IIO portfolios will vary greatly depending on the structural features of the securities. While prepayment activity will always affect the cash flows associated with the securities, the interest only nature of IO’s may cause their durations to become extremely negative when prepayments are high, and less negative when prepayments are low. Prepayments affect the durations of IIO’s similarly, but the floating rate nature of the coupon of IIOs (which has an inverse relationship to their reference index) cause their price movements - and model duration - to be affected by changes in both prepayments and their reference index - both current and anticipated levels. As a result, the duration of IIO securities will also vary greatly.</w:t>
      </w:r>
    </w:p>
    <w:p>
      <w:pPr>
        <w:spacing w:after="0" w:line="191" w:lineRule="exact"/>
        <w:rPr>
          <w:sz w:val="20"/>
          <w:szCs w:val="20"/>
          <w:color w:val="auto"/>
        </w:rPr>
      </w:pPr>
    </w:p>
    <w:p>
      <w:pPr>
        <w:ind w:right="120" w:firstLine="360"/>
        <w:spacing w:after="0" w:line="247" w:lineRule="auto"/>
        <w:rPr>
          <w:sz w:val="20"/>
          <w:szCs w:val="20"/>
          <w:color w:val="auto"/>
        </w:rPr>
      </w:pPr>
      <w:r>
        <w:rPr>
          <w:rFonts w:ascii="Times New Roman" w:cs="Times New Roman" w:eastAsia="Times New Roman" w:hAnsi="Times New Roman"/>
          <w:sz w:val="20"/>
          <w:szCs w:val="20"/>
          <w:color w:val="auto"/>
        </w:rPr>
        <w:t>Prepayments on the loans underlying our MBS can alter the timing of the cash flows received by us. As a result, we gauge the interest rate sensitivity of its assets by measuring their effective duration. While modified duration measures the price sensitivity of a bond to movements in interest rates, effective duration captures both the movement in interest rates and the fact that cash flows to a mortgage related security are altered when interest rates move. Accordingly, when the contract interest rate on a mortgage loan is substantially above prevailing interest rates in the market, the effective duration of securities collateralized by such loans can be quite low because of expected prepayments.</w:t>
      </w:r>
    </w:p>
    <w:p>
      <w:pPr>
        <w:spacing w:after="0" w:line="189"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We face the risk that the market value of our MBS assets will increase or decrease at different rates than those of our hedging instruments. Accordingly, we assess our interest rate risk by estimating the duration of our assets and the duration of our hedge instruments. We generally calculate duration and effective duration using various third-party models or obtain these quotes from third-parties. However, empirical results and various third-party models may produce different duration numbers for the same securities.</w:t>
      </w:r>
    </w:p>
    <w:p>
      <w:pPr>
        <w:spacing w:after="0" w:line="185" w:lineRule="exact"/>
        <w:rPr>
          <w:sz w:val="20"/>
          <w:szCs w:val="20"/>
          <w:color w:val="auto"/>
        </w:rPr>
      </w:pPr>
    </w:p>
    <w:p>
      <w:pPr>
        <w:ind w:right="120" w:firstLine="360"/>
        <w:spacing w:after="0" w:line="252" w:lineRule="auto"/>
        <w:rPr>
          <w:sz w:val="20"/>
          <w:szCs w:val="20"/>
          <w:color w:val="auto"/>
        </w:rPr>
      </w:pPr>
      <w:r>
        <w:rPr>
          <w:rFonts w:ascii="Times New Roman" w:cs="Times New Roman" w:eastAsia="Times New Roman" w:hAnsi="Times New Roman"/>
          <w:sz w:val="20"/>
          <w:szCs w:val="20"/>
          <w:color w:val="auto"/>
        </w:rPr>
        <w:t>The following sensitivity analysis shows the estimated impact on the fair value of our interest rate-sensitive investments and hedge positions as of December 31, 2025, assuming rates instantaneously fall 200 bps, fall 100 bps and rise 100 bps, adjusted to reflect the impact of convexity, which is the measure of the sensitivity of our hedge positions and Agency MBS’ effective duration to movements in interest rates.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24130</wp:posOffset>
                </wp:positionV>
                <wp:extent cx="685800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9pt" to="540.2pt,1.9pt" o:allowincell="f" strokecolor="#FFFFFF" strokeweight="0.14pt"/>
            </w:pict>
          </mc:Fallback>
        </mc:AlternateConten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Fair</w:t>
            </w:r>
          </w:p>
        </w:tc>
        <w:tc>
          <w:tcPr>
            <w:tcW w:w="80" w:type="dxa"/>
            <w:vAlign w:val="bottom"/>
            <w:tcBorders>
              <w:top w:val="single" w:sz="8" w:color="auto"/>
              <w:bottom w:val="single" w:sz="8" w:color="auto"/>
            </w:tcBorders>
          </w:tcPr>
          <w:p>
            <w:pPr>
              <w:spacing w:after="0"/>
              <w:rPr>
                <w:sz w:val="18"/>
                <w:szCs w:val="18"/>
                <w:color w:val="auto"/>
              </w:rPr>
            </w:pPr>
          </w:p>
        </w:tc>
        <w:tc>
          <w:tcPr>
            <w:tcW w:w="2580" w:type="dxa"/>
            <w:vAlign w:val="bottom"/>
            <w:tcBorders>
              <w:top w:val="single" w:sz="8" w:color="auto"/>
              <w:bottom w:val="single" w:sz="8" w:color="auto"/>
            </w:tcBorders>
            <w:gridSpan w:val="10"/>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 Change in Fair Value</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940" w:type="dxa"/>
            <w:vAlign w:val="bottom"/>
            <w:tcBorders>
              <w:top w:val="single" w:sz="8" w:color="auto"/>
              <w:bottom w:val="single" w:sz="8" w:color="auto"/>
            </w:tcBorders>
            <w:gridSpan w:val="10"/>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 Change in Fair Value</w:t>
            </w:r>
          </w:p>
        </w:tc>
        <w:tc>
          <w:tcPr>
            <w:tcW w:w="0" w:type="dxa"/>
            <w:vAlign w:val="bottom"/>
          </w:tcPr>
          <w:p>
            <w:pPr>
              <w:spacing w:after="0"/>
              <w:rPr>
                <w:sz w:val="1"/>
                <w:szCs w:val="1"/>
                <w:color w:val="auto"/>
              </w:rPr>
            </w:pPr>
          </w:p>
        </w:tc>
      </w:tr>
      <w:tr>
        <w:trPr>
          <w:trHeight w:val="182"/>
        </w:trPr>
        <w:tc>
          <w:tcPr>
            <w:tcW w:w="3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3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3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Borders>
              <w:bottom w:val="single" w:sz="8" w:color="auto"/>
            </w:tcBorders>
          </w:tcPr>
          <w:p>
            <w:pPr>
              <w:spacing w:after="0"/>
              <w:rPr>
                <w:sz w:val="22"/>
                <w:szCs w:val="22"/>
                <w:color w:val="auto"/>
              </w:rPr>
            </w:pPr>
          </w:p>
        </w:tc>
        <w:tc>
          <w:tcPr>
            <w:tcW w:w="73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-200bps</w:t>
            </w:r>
          </w:p>
        </w:tc>
        <w:tc>
          <w:tcPr>
            <w:tcW w:w="9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-100bps</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6"/>
              </w:rPr>
              <w:t>+100bps</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6"/>
              </w:rPr>
              <w:t>-200bps</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6"/>
              </w:rPr>
              <w:t>-100bps</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+100bps</w:t>
            </w:r>
          </w:p>
        </w:tc>
        <w:tc>
          <w:tcPr>
            <w:tcW w:w="0" w:type="dxa"/>
            <w:vAlign w:val="bottom"/>
          </w:tcPr>
          <w:p>
            <w:pPr>
              <w:spacing w:after="0"/>
              <w:rPr>
                <w:sz w:val="1"/>
                <w:szCs w:val="1"/>
                <w:color w:val="auto"/>
              </w:rPr>
            </w:pPr>
          </w:p>
        </w:tc>
      </w:tr>
      <w:tr>
        <w:trPr>
          <w:trHeight w:val="185"/>
        </w:trPr>
        <w:tc>
          <w:tcPr>
            <w:tcW w:w="3980" w:type="dxa"/>
            <w:vAlign w:val="bottom"/>
            <w:tcBorders>
              <w:top w:val="single" w:sz="8" w:color="DDDDDD"/>
              <w:bottom w:val="single" w:sz="8" w:color="auto"/>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rPr>
              <w:t>MBS Portfolio</w:t>
            </w: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620" w:type="dxa"/>
            <w:vAlign w:val="bottom"/>
            <w:tcBorders>
              <w:top w:val="single" w:sz="8" w:color="DDDDDD"/>
              <w:bottom w:val="single" w:sz="8" w:color="auto"/>
            </w:tcBorders>
            <w:shd w:val="clear" w:color="auto" w:fill="DDDDDD"/>
          </w:tcPr>
          <w:p>
            <w:pPr>
              <w:ind w:left="120"/>
              <w:spacing w:after="0" w:line="182" w:lineRule="exact"/>
              <w:rPr>
                <w:sz w:val="20"/>
                <w:szCs w:val="20"/>
                <w:color w:val="auto"/>
              </w:rPr>
            </w:pPr>
            <w:r>
              <w:rPr>
                <w:rFonts w:ascii="Times New Roman" w:cs="Times New Roman" w:eastAsia="Times New Roman" w:hAnsi="Times New Roman"/>
                <w:sz w:val="18"/>
                <w:szCs w:val="18"/>
                <w:color w:val="auto"/>
                <w:w w:val="96"/>
              </w:rPr>
              <w:t>88,929</w:t>
            </w:r>
          </w:p>
        </w:tc>
        <w:tc>
          <w:tcPr>
            <w:tcW w:w="200" w:type="dxa"/>
            <w:vAlign w:val="bottom"/>
            <w:tcBorders>
              <w:top w:val="single" w:sz="8" w:color="DDDDDD"/>
              <w:bottom w:val="single" w:sz="8" w:color="auto"/>
            </w:tcBorders>
            <w:shd w:val="clear" w:color="auto" w:fill="DDDDDD"/>
          </w:tcPr>
          <w:p>
            <w:pPr>
              <w:spacing w:after="0"/>
              <w:rPr>
                <w:sz w:val="16"/>
                <w:szCs w:val="16"/>
                <w:color w:val="auto"/>
              </w:rPr>
            </w:pPr>
          </w:p>
        </w:tc>
        <w:tc>
          <w:tcPr>
            <w:tcW w:w="80" w:type="dxa"/>
            <w:vAlign w:val="bottom"/>
            <w:tcBorders>
              <w:top w:val="single" w:sz="8" w:color="DDDDDD"/>
              <w:bottom w:val="single" w:sz="8" w:color="auto"/>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640" w:type="dxa"/>
            <w:vAlign w:val="bottom"/>
            <w:tcBorders>
              <w:top w:val="single" w:sz="8" w:color="DDDDDD"/>
              <w:bottom w:val="single" w:sz="8" w:color="auto"/>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2,323</w:t>
            </w:r>
          </w:p>
        </w:tc>
        <w:tc>
          <w:tcPr>
            <w:tcW w:w="90" w:type="dxa"/>
            <w:vAlign w:val="bottom"/>
            <w:tcBorders>
              <w:top w:val="single" w:sz="8" w:color="DDDDDD"/>
              <w:bottom w:val="single" w:sz="8" w:color="auto"/>
            </w:tcBorders>
            <w:shd w:val="clear" w:color="auto" w:fill="DDDDDD"/>
          </w:tcPr>
          <w:p>
            <w:pPr>
              <w:spacing w:after="0"/>
              <w:rPr>
                <w:sz w:val="16"/>
                <w:szCs w:val="16"/>
                <w:color w:val="auto"/>
              </w:rPr>
            </w:pPr>
          </w:p>
        </w:tc>
        <w:tc>
          <w:tcPr>
            <w:tcW w:w="9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630" w:type="dxa"/>
            <w:vAlign w:val="bottom"/>
            <w:tcBorders>
              <w:top w:val="single" w:sz="8" w:color="DDDDDD"/>
              <w:bottom w:val="single" w:sz="8" w:color="auto"/>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1,448</w:t>
            </w:r>
          </w:p>
        </w:tc>
        <w:tc>
          <w:tcPr>
            <w:tcW w:w="9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660" w:type="dxa"/>
            <w:vAlign w:val="bottom"/>
            <w:tcBorders>
              <w:top w:val="single" w:sz="8" w:color="DDDDDD"/>
              <w:bottom w:val="single" w:sz="8" w:color="auto"/>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(2,631</w:t>
            </w:r>
          </w:p>
        </w:tc>
        <w:tc>
          <w:tcPr>
            <w:tcW w:w="80" w:type="dxa"/>
            <w:vAlign w:val="bottom"/>
            <w:tcBorders>
              <w:top w:val="single" w:sz="8" w:color="DDDDDD"/>
              <w:bottom w:val="single" w:sz="8" w:color="auto"/>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highlight w:val="lightGray"/>
                <w:w w:val="74"/>
              </w:rPr>
              <w:t>)</w:t>
            </w: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620" w:type="dxa"/>
            <w:vAlign w:val="bottom"/>
            <w:tcBorders>
              <w:top w:val="single" w:sz="8" w:color="DDDDDD"/>
              <w:bottom w:val="single" w:sz="8" w:color="auto"/>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2.61</w:t>
            </w:r>
          </w:p>
        </w:tc>
        <w:tc>
          <w:tcPr>
            <w:tcW w:w="220" w:type="dxa"/>
            <w:vAlign w:val="bottom"/>
            <w:tcBorders>
              <w:top w:val="single" w:sz="8" w:color="DDDDDD"/>
              <w:bottom w:val="single" w:sz="8" w:color="auto"/>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620" w:type="dxa"/>
            <w:vAlign w:val="bottom"/>
            <w:tcBorders>
              <w:top w:val="single" w:sz="8" w:color="DDDDDD"/>
              <w:bottom w:val="single" w:sz="8" w:color="auto"/>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1.63</w:t>
            </w:r>
          </w:p>
        </w:tc>
        <w:tc>
          <w:tcPr>
            <w:tcW w:w="220" w:type="dxa"/>
            <w:vAlign w:val="bottom"/>
            <w:tcBorders>
              <w:top w:val="single" w:sz="8" w:color="DDDDDD"/>
              <w:bottom w:val="single" w:sz="8" w:color="auto"/>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640" w:type="dxa"/>
            <w:vAlign w:val="bottom"/>
            <w:tcBorders>
              <w:top w:val="single" w:sz="8" w:color="DDDDDD"/>
              <w:bottom w:val="single" w:sz="8" w:color="auto"/>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(2.96</w:t>
            </w:r>
          </w:p>
        </w:tc>
        <w:tc>
          <w:tcPr>
            <w:tcW w:w="220" w:type="dxa"/>
            <w:vAlign w:val="bottom"/>
            <w:tcBorders>
              <w:top w:val="single" w:sz="8" w:color="DDDDDD"/>
              <w:bottom w:val="single" w:sz="8" w:color="auto"/>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95"/>
              </w:rPr>
              <w:t>)%</w:t>
            </w:r>
          </w:p>
        </w:tc>
        <w:tc>
          <w:tcPr>
            <w:tcW w:w="0" w:type="dxa"/>
            <w:vAlign w:val="bottom"/>
          </w:tcPr>
          <w:p>
            <w:pPr>
              <w:spacing w:after="0"/>
              <w:rPr>
                <w:sz w:val="1"/>
                <w:szCs w:val="1"/>
                <w:color w:val="auto"/>
              </w:rPr>
            </w:pPr>
          </w:p>
        </w:tc>
      </w:tr>
      <w:tr>
        <w:trPr>
          <w:trHeight w:val="236"/>
        </w:trPr>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80" w:type="dxa"/>
            <w:vAlign w:val="bottom"/>
            <w:gridSpan w:val="10"/>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 Change in Fair 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gridSpan w:val="10"/>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 Change in Fair Value</w:t>
            </w:r>
          </w:p>
        </w:tc>
        <w:tc>
          <w:tcPr>
            <w:tcW w:w="0" w:type="dxa"/>
            <w:vAlign w:val="bottom"/>
          </w:tcPr>
          <w:p>
            <w:pPr>
              <w:spacing w:after="0"/>
              <w:rPr>
                <w:sz w:val="1"/>
                <w:szCs w:val="1"/>
                <w:color w:val="auto"/>
              </w:rPr>
            </w:pPr>
          </w:p>
        </w:tc>
      </w:tr>
      <w:tr>
        <w:trPr>
          <w:trHeight w:val="184"/>
        </w:trPr>
        <w:tc>
          <w:tcPr>
            <w:tcW w:w="3980" w:type="dxa"/>
            <w:vAlign w:val="bottom"/>
            <w:tcBorders>
              <w:top w:val="single" w:sz="8" w:color="DDDDDD"/>
              <w:bottom w:val="single" w:sz="8" w:color="auto"/>
            </w:tcBorders>
            <w:shd w:val="clear" w:color="auto" w:fill="DDDDDD"/>
          </w:tcPr>
          <w:p>
            <w:pPr>
              <w:spacing w:after="0" w:line="181" w:lineRule="exact"/>
              <w:rPr>
                <w:sz w:val="20"/>
                <w:szCs w:val="20"/>
                <w:color w:val="auto"/>
              </w:rPr>
            </w:pPr>
            <w:r>
              <w:rPr>
                <w:rFonts w:ascii="Times New Roman" w:cs="Times New Roman" w:eastAsia="Times New Roman" w:hAnsi="Times New Roman"/>
                <w:sz w:val="18"/>
                <w:szCs w:val="18"/>
                <w:b w:val="1"/>
                <w:bCs w:val="1"/>
                <w:color w:val="auto"/>
              </w:rPr>
              <w:t>Repurchase Agreement Hedges</w:t>
            </w:r>
          </w:p>
        </w:tc>
        <w:tc>
          <w:tcPr>
            <w:tcW w:w="100" w:type="dxa"/>
            <w:vAlign w:val="bottom"/>
            <w:tcBorders>
              <w:top w:val="single" w:sz="8" w:color="DDDDDD"/>
              <w:bottom w:val="single" w:sz="8" w:color="auto"/>
            </w:tcBorders>
            <w:shd w:val="clear" w:color="auto" w:fill="DDDDDD"/>
          </w:tcPr>
          <w:p>
            <w:pPr>
              <w:spacing w:after="0"/>
              <w:rPr>
                <w:sz w:val="15"/>
                <w:szCs w:val="15"/>
                <w:color w:val="auto"/>
              </w:rPr>
            </w:pPr>
          </w:p>
        </w:tc>
        <w:tc>
          <w:tcPr>
            <w:tcW w:w="720" w:type="dxa"/>
            <w:vAlign w:val="bottom"/>
            <w:tcBorders>
              <w:top w:val="single" w:sz="8" w:color="DDDDDD"/>
              <w:bottom w:val="single" w:sz="8" w:color="auto"/>
            </w:tcBorders>
            <w:gridSpan w:val="2"/>
            <w:shd w:val="clear" w:color="auto" w:fill="DDDDDD"/>
          </w:tcPr>
          <w:p>
            <w:pPr>
              <w:ind w:left="40"/>
              <w:spacing w:after="0" w:line="181" w:lineRule="exact"/>
              <w:rPr>
                <w:sz w:val="20"/>
                <w:szCs w:val="20"/>
                <w:color w:val="auto"/>
              </w:rPr>
            </w:pPr>
            <w:r>
              <w:rPr>
                <w:rFonts w:ascii="Times New Roman" w:cs="Times New Roman" w:eastAsia="Times New Roman" w:hAnsi="Times New Roman"/>
                <w:sz w:val="18"/>
                <w:szCs w:val="18"/>
                <w:b w:val="1"/>
                <w:bCs w:val="1"/>
                <w:color w:val="auto"/>
                <w:highlight w:val="lightGray"/>
              </w:rPr>
              <w:t>Amount</w:t>
            </w:r>
          </w:p>
        </w:tc>
        <w:tc>
          <w:tcPr>
            <w:tcW w:w="200" w:type="dxa"/>
            <w:vAlign w:val="bottom"/>
            <w:tcBorders>
              <w:top w:val="single" w:sz="8" w:color="DDDDDD"/>
              <w:bottom w:val="single" w:sz="8" w:color="auto"/>
            </w:tcBorders>
            <w:shd w:val="clear" w:color="auto" w:fill="DDDDDD"/>
          </w:tcPr>
          <w:p>
            <w:pPr>
              <w:spacing w:after="0"/>
              <w:rPr>
                <w:sz w:val="15"/>
                <w:szCs w:val="15"/>
                <w:color w:val="auto"/>
              </w:rPr>
            </w:pPr>
          </w:p>
        </w:tc>
        <w:tc>
          <w:tcPr>
            <w:tcW w:w="720" w:type="dxa"/>
            <w:vAlign w:val="bottom"/>
            <w:tcBorders>
              <w:top w:val="single" w:sz="8" w:color="auto"/>
              <w:bottom w:val="single" w:sz="8" w:color="auto"/>
            </w:tcBorders>
            <w:gridSpan w:val="2"/>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b w:val="1"/>
                <w:bCs w:val="1"/>
                <w:color w:val="auto"/>
              </w:rPr>
              <w:t>-200bps</w:t>
            </w:r>
          </w:p>
        </w:tc>
        <w:tc>
          <w:tcPr>
            <w:tcW w:w="90" w:type="dxa"/>
            <w:vAlign w:val="bottom"/>
            <w:tcBorders>
              <w:top w:val="single" w:sz="8" w:color="auto"/>
              <w:bottom w:val="single" w:sz="8" w:color="auto"/>
            </w:tcBorders>
            <w:shd w:val="clear" w:color="auto" w:fill="DDDDDD"/>
          </w:tcPr>
          <w:p>
            <w:pPr>
              <w:spacing w:after="0"/>
              <w:rPr>
                <w:sz w:val="15"/>
                <w:szCs w:val="15"/>
                <w:color w:val="auto"/>
              </w:rPr>
            </w:pPr>
          </w:p>
        </w:tc>
        <w:tc>
          <w:tcPr>
            <w:tcW w:w="90" w:type="dxa"/>
            <w:vAlign w:val="bottom"/>
            <w:tcBorders>
              <w:top w:val="single" w:sz="8" w:color="auto"/>
              <w:bottom w:val="single" w:sz="8" w:color="auto"/>
            </w:tcBorders>
            <w:shd w:val="clear" w:color="auto" w:fill="DDDDDD"/>
          </w:tcPr>
          <w:p>
            <w:pPr>
              <w:spacing w:after="0"/>
              <w:rPr>
                <w:sz w:val="15"/>
                <w:szCs w:val="15"/>
                <w:color w:val="auto"/>
              </w:rPr>
            </w:pPr>
          </w:p>
        </w:tc>
        <w:tc>
          <w:tcPr>
            <w:tcW w:w="730" w:type="dxa"/>
            <w:vAlign w:val="bottom"/>
            <w:tcBorders>
              <w:top w:val="single" w:sz="8" w:color="auto"/>
              <w:bottom w:val="single" w:sz="8" w:color="auto"/>
            </w:tcBorders>
            <w:gridSpan w:val="2"/>
            <w:shd w:val="clear" w:color="auto" w:fill="DDDDDD"/>
          </w:tcPr>
          <w:p>
            <w:pPr>
              <w:jc w:val="center"/>
              <w:spacing w:after="0" w:line="181" w:lineRule="exact"/>
              <w:rPr>
                <w:sz w:val="20"/>
                <w:szCs w:val="20"/>
                <w:color w:val="auto"/>
              </w:rPr>
            </w:pPr>
            <w:r>
              <w:rPr>
                <w:rFonts w:ascii="Times New Roman" w:cs="Times New Roman" w:eastAsia="Times New Roman" w:hAnsi="Times New Roman"/>
                <w:sz w:val="18"/>
                <w:szCs w:val="18"/>
                <w:b w:val="1"/>
                <w:bCs w:val="1"/>
                <w:color w:val="auto"/>
                <w:w w:val="99"/>
              </w:rPr>
              <w:t>-100bps</w:t>
            </w:r>
          </w:p>
        </w:tc>
        <w:tc>
          <w:tcPr>
            <w:tcW w:w="90" w:type="dxa"/>
            <w:vAlign w:val="bottom"/>
            <w:tcBorders>
              <w:top w:val="single" w:sz="8" w:color="auto"/>
              <w:bottom w:val="single" w:sz="8" w:color="auto"/>
            </w:tcBorders>
            <w:shd w:val="clear" w:color="auto" w:fill="DDDDDD"/>
          </w:tcPr>
          <w:p>
            <w:pPr>
              <w:spacing w:after="0"/>
              <w:rPr>
                <w:sz w:val="15"/>
                <w:szCs w:val="15"/>
                <w:color w:val="auto"/>
              </w:rPr>
            </w:pPr>
          </w:p>
        </w:tc>
        <w:tc>
          <w:tcPr>
            <w:tcW w:w="100" w:type="dxa"/>
            <w:vAlign w:val="bottom"/>
            <w:tcBorders>
              <w:top w:val="single" w:sz="8" w:color="auto"/>
              <w:bottom w:val="single" w:sz="8" w:color="auto"/>
            </w:tcBorders>
            <w:shd w:val="clear" w:color="auto" w:fill="DDDDDD"/>
          </w:tcPr>
          <w:p>
            <w:pPr>
              <w:spacing w:after="0"/>
              <w:rPr>
                <w:sz w:val="15"/>
                <w:szCs w:val="15"/>
                <w:color w:val="auto"/>
              </w:rPr>
            </w:pPr>
          </w:p>
        </w:tc>
        <w:tc>
          <w:tcPr>
            <w:tcW w:w="760" w:type="dxa"/>
            <w:vAlign w:val="bottom"/>
            <w:tcBorders>
              <w:top w:val="single" w:sz="8" w:color="auto"/>
              <w:bottom w:val="single" w:sz="8" w:color="auto"/>
            </w:tcBorders>
            <w:gridSpan w:val="2"/>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b w:val="1"/>
                <w:bCs w:val="1"/>
                <w:color w:val="auto"/>
                <w:highlight w:val="lightGray"/>
              </w:rPr>
              <w:t>+100bps</w:t>
            </w:r>
          </w:p>
        </w:tc>
        <w:tc>
          <w:tcPr>
            <w:tcW w:w="80" w:type="dxa"/>
            <w:vAlign w:val="bottom"/>
            <w:tcBorders>
              <w:top w:val="single" w:sz="8" w:color="DDDDDD"/>
              <w:bottom w:val="single" w:sz="8" w:color="auto"/>
            </w:tcBorders>
            <w:shd w:val="clear" w:color="auto" w:fill="DDDDDD"/>
          </w:tcPr>
          <w:p>
            <w:pPr>
              <w:spacing w:after="0"/>
              <w:rPr>
                <w:sz w:val="15"/>
                <w:szCs w:val="15"/>
                <w:color w:val="auto"/>
              </w:rPr>
            </w:pPr>
          </w:p>
        </w:tc>
        <w:tc>
          <w:tcPr>
            <w:tcW w:w="100" w:type="dxa"/>
            <w:vAlign w:val="bottom"/>
            <w:tcBorders>
              <w:top w:val="single" w:sz="8" w:color="DDDDDD"/>
              <w:bottom w:val="single" w:sz="8" w:color="auto"/>
            </w:tcBorders>
            <w:shd w:val="clear" w:color="auto" w:fill="DDDDDD"/>
          </w:tcPr>
          <w:p>
            <w:pPr>
              <w:spacing w:after="0"/>
              <w:rPr>
                <w:sz w:val="15"/>
                <w:szCs w:val="15"/>
                <w:color w:val="auto"/>
              </w:rPr>
            </w:pPr>
          </w:p>
        </w:tc>
        <w:tc>
          <w:tcPr>
            <w:tcW w:w="720" w:type="dxa"/>
            <w:vAlign w:val="bottom"/>
            <w:tcBorders>
              <w:top w:val="single" w:sz="8" w:color="auto"/>
              <w:bottom w:val="single" w:sz="8" w:color="auto"/>
            </w:tcBorders>
            <w:gridSpan w:val="2"/>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b w:val="1"/>
                <w:bCs w:val="1"/>
                <w:color w:val="auto"/>
              </w:rPr>
              <w:t>-200bps</w:t>
            </w:r>
          </w:p>
        </w:tc>
        <w:tc>
          <w:tcPr>
            <w:tcW w:w="220" w:type="dxa"/>
            <w:vAlign w:val="bottom"/>
            <w:tcBorders>
              <w:top w:val="single" w:sz="8" w:color="auto"/>
              <w:bottom w:val="single" w:sz="8" w:color="auto"/>
            </w:tcBorders>
            <w:shd w:val="clear" w:color="auto" w:fill="DDDDDD"/>
          </w:tcPr>
          <w:p>
            <w:pPr>
              <w:spacing w:after="0"/>
              <w:rPr>
                <w:sz w:val="15"/>
                <w:szCs w:val="15"/>
                <w:color w:val="auto"/>
              </w:rPr>
            </w:pPr>
          </w:p>
        </w:tc>
        <w:tc>
          <w:tcPr>
            <w:tcW w:w="100" w:type="dxa"/>
            <w:vAlign w:val="bottom"/>
            <w:tcBorders>
              <w:top w:val="single" w:sz="8" w:color="auto"/>
              <w:bottom w:val="single" w:sz="8" w:color="auto"/>
            </w:tcBorders>
            <w:shd w:val="clear" w:color="auto" w:fill="DDDDDD"/>
          </w:tcPr>
          <w:p>
            <w:pPr>
              <w:spacing w:after="0"/>
              <w:rPr>
                <w:sz w:val="15"/>
                <w:szCs w:val="15"/>
                <w:color w:val="auto"/>
              </w:rPr>
            </w:pPr>
          </w:p>
        </w:tc>
        <w:tc>
          <w:tcPr>
            <w:tcW w:w="720" w:type="dxa"/>
            <w:vAlign w:val="bottom"/>
            <w:tcBorders>
              <w:top w:val="single" w:sz="8" w:color="auto"/>
              <w:bottom w:val="single" w:sz="8" w:color="auto"/>
            </w:tcBorders>
            <w:gridSpan w:val="2"/>
            <w:shd w:val="clear" w:color="auto" w:fill="DDDDDD"/>
          </w:tcPr>
          <w:p>
            <w:pPr>
              <w:jc w:val="center"/>
              <w:spacing w:after="0" w:line="181" w:lineRule="exact"/>
              <w:rPr>
                <w:sz w:val="20"/>
                <w:szCs w:val="20"/>
                <w:color w:val="auto"/>
              </w:rPr>
            </w:pPr>
            <w:r>
              <w:rPr>
                <w:rFonts w:ascii="Times New Roman" w:cs="Times New Roman" w:eastAsia="Times New Roman" w:hAnsi="Times New Roman"/>
                <w:sz w:val="18"/>
                <w:szCs w:val="18"/>
                <w:b w:val="1"/>
                <w:bCs w:val="1"/>
                <w:color w:val="auto"/>
                <w:w w:val="99"/>
              </w:rPr>
              <w:t>-100bps</w:t>
            </w:r>
          </w:p>
        </w:tc>
        <w:tc>
          <w:tcPr>
            <w:tcW w:w="220" w:type="dxa"/>
            <w:vAlign w:val="bottom"/>
            <w:tcBorders>
              <w:top w:val="single" w:sz="8" w:color="auto"/>
              <w:bottom w:val="single" w:sz="8" w:color="auto"/>
            </w:tcBorders>
            <w:shd w:val="clear" w:color="auto" w:fill="DDDDDD"/>
          </w:tcPr>
          <w:p>
            <w:pPr>
              <w:spacing w:after="0"/>
              <w:rPr>
                <w:sz w:val="15"/>
                <w:szCs w:val="15"/>
                <w:color w:val="auto"/>
              </w:rPr>
            </w:pPr>
          </w:p>
        </w:tc>
        <w:tc>
          <w:tcPr>
            <w:tcW w:w="100" w:type="dxa"/>
            <w:vAlign w:val="bottom"/>
            <w:tcBorders>
              <w:top w:val="single" w:sz="8" w:color="auto"/>
              <w:bottom w:val="single" w:sz="8" w:color="auto"/>
            </w:tcBorders>
            <w:shd w:val="clear" w:color="auto" w:fill="DDDDDD"/>
          </w:tcPr>
          <w:p>
            <w:pPr>
              <w:spacing w:after="0"/>
              <w:rPr>
                <w:sz w:val="15"/>
                <w:szCs w:val="15"/>
                <w:color w:val="auto"/>
              </w:rPr>
            </w:pPr>
          </w:p>
        </w:tc>
        <w:tc>
          <w:tcPr>
            <w:tcW w:w="740" w:type="dxa"/>
            <w:vAlign w:val="bottom"/>
            <w:tcBorders>
              <w:top w:val="single" w:sz="8" w:color="auto"/>
              <w:bottom w:val="single" w:sz="8" w:color="auto"/>
            </w:tcBorders>
            <w:gridSpan w:val="2"/>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b w:val="1"/>
                <w:bCs w:val="1"/>
                <w:color w:val="auto"/>
                <w:highlight w:val="lightGray"/>
              </w:rPr>
              <w:t>+100bps</w:t>
            </w:r>
          </w:p>
        </w:tc>
        <w:tc>
          <w:tcPr>
            <w:tcW w:w="220" w:type="dxa"/>
            <w:vAlign w:val="bottom"/>
            <w:tcBorders>
              <w:top w:val="single" w:sz="8" w:color="DDDDDD"/>
              <w:bottom w:val="single" w:sz="8" w:color="auto"/>
            </w:tcBorders>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Futures Contracts</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6"/>
              </w:rPr>
              <w:t>62,400</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3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(7,957 )</w:t>
            </w:r>
          </w:p>
        </w:tc>
        <w:tc>
          <w:tcPr>
            <w:tcW w:w="9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(3,839 )</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(12.75 )%</w:t>
            </w: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(6.15 )%</w:t>
            </w:r>
          </w:p>
        </w:tc>
        <w:tc>
          <w:tcPr>
            <w:tcW w:w="1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0" w:type="dxa"/>
            <w:vAlign w:val="bottom"/>
          </w:tcPr>
          <w:p>
            <w:pPr>
              <w:spacing w:after="0"/>
              <w:rPr>
                <w:sz w:val="1"/>
                <w:szCs w:val="1"/>
                <w:color w:val="auto"/>
              </w:rPr>
            </w:pPr>
          </w:p>
        </w:tc>
      </w:tr>
      <w:tr>
        <w:trPr>
          <w:trHeight w:val="210"/>
        </w:trPr>
        <w:tc>
          <w:tcPr>
            <w:tcW w:w="398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rPr>
              <w:t>Totals</w:t>
            </w: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620" w:type="dxa"/>
            <w:vAlign w:val="bottom"/>
            <w:tcBorders>
              <w:top w:val="single" w:sz="8" w:color="DDDDDD"/>
              <w:bottom w:val="single" w:sz="8" w:color="DDDDDD"/>
            </w:tcBorders>
            <w:shd w:val="clear" w:color="auto" w:fill="DDDDDD"/>
          </w:tcPr>
          <w:p>
            <w:pPr>
              <w:spacing w:after="0"/>
              <w:rPr>
                <w:sz w:val="17"/>
                <w:szCs w:val="17"/>
                <w:color w:val="auto"/>
              </w:rPr>
            </w:pPr>
          </w:p>
        </w:tc>
        <w:tc>
          <w:tcPr>
            <w:tcW w:w="200" w:type="dxa"/>
            <w:vAlign w:val="bottom"/>
            <w:tcBorders>
              <w:top w:val="single" w:sz="8" w:color="DDDDDD"/>
              <w:bottom w:val="single" w:sz="8" w:color="DDDDDD"/>
            </w:tcBorders>
            <w:shd w:val="clear" w:color="auto" w:fill="DDDDDD"/>
          </w:tcPr>
          <w:p>
            <w:pPr>
              <w:spacing w:after="0"/>
              <w:rPr>
                <w:sz w:val="17"/>
                <w:szCs w:val="17"/>
                <w:color w:val="auto"/>
              </w:rPr>
            </w:pPr>
          </w:p>
        </w:tc>
        <w:tc>
          <w:tcPr>
            <w:tcW w:w="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64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(5,634</w:t>
            </w:r>
          </w:p>
        </w:tc>
        <w:tc>
          <w:tcPr>
            <w:tcW w:w="9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highlight w:val="lightGray"/>
                <w:w w:val="74"/>
              </w:rPr>
              <w:t>)</w:t>
            </w:r>
          </w:p>
        </w:tc>
        <w:tc>
          <w:tcPr>
            <w:tcW w:w="9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63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(2,391</w:t>
            </w:r>
          </w:p>
        </w:tc>
        <w:tc>
          <w:tcPr>
            <w:tcW w:w="9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highlight w:val="lightGray"/>
                <w:w w:val="74"/>
              </w:rPr>
              <w:t>)</w:t>
            </w: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66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955</w:t>
            </w:r>
          </w:p>
        </w:tc>
        <w:tc>
          <w:tcPr>
            <w:tcW w:w="8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620" w:type="dxa"/>
            <w:vAlign w:val="bottom"/>
            <w:tcBorders>
              <w:top w:val="single" w:sz="8" w:color="DDDDDD"/>
              <w:bottom w:val="single" w:sz="8" w:color="DDDDDD"/>
            </w:tcBorders>
            <w:shd w:val="clear" w:color="auto" w:fill="DDDDDD"/>
          </w:tcPr>
          <w:p>
            <w:pPr>
              <w:spacing w:after="0"/>
              <w:rPr>
                <w:sz w:val="17"/>
                <w:szCs w:val="17"/>
                <w:color w:val="auto"/>
              </w:rPr>
            </w:pPr>
          </w:p>
        </w:tc>
        <w:tc>
          <w:tcPr>
            <w:tcW w:w="22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620" w:type="dxa"/>
            <w:vAlign w:val="bottom"/>
            <w:tcBorders>
              <w:top w:val="single" w:sz="8" w:color="DDDDDD"/>
              <w:bottom w:val="single" w:sz="8" w:color="DDDDDD"/>
            </w:tcBorders>
            <w:shd w:val="clear" w:color="auto" w:fill="DDDDDD"/>
          </w:tcPr>
          <w:p>
            <w:pPr>
              <w:spacing w:after="0"/>
              <w:rPr>
                <w:sz w:val="17"/>
                <w:szCs w:val="17"/>
                <w:color w:val="auto"/>
              </w:rPr>
            </w:pPr>
          </w:p>
        </w:tc>
        <w:tc>
          <w:tcPr>
            <w:tcW w:w="22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640" w:type="dxa"/>
            <w:vAlign w:val="bottom"/>
            <w:tcBorders>
              <w:top w:val="single" w:sz="8" w:color="DDDDDD"/>
              <w:bottom w:val="single" w:sz="8" w:color="DDDDDD"/>
            </w:tcBorders>
            <w:shd w:val="clear" w:color="auto" w:fill="DDDDDD"/>
          </w:tcPr>
          <w:p>
            <w:pPr>
              <w:spacing w:after="0"/>
              <w:rPr>
                <w:sz w:val="17"/>
                <w:szCs w:val="17"/>
                <w:color w:val="auto"/>
              </w:rPr>
            </w:pPr>
          </w:p>
        </w:tc>
        <w:tc>
          <w:tcPr>
            <w:tcW w:w="220" w:type="dxa"/>
            <w:vAlign w:val="bottom"/>
            <w:tcBorders>
              <w:top w:val="single" w:sz="8" w:color="DDDDDD"/>
              <w:bottom w:val="single" w:sz="8" w:color="DDDDDD"/>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3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3168650</wp:posOffset>
                </wp:positionH>
                <wp:positionV relativeFrom="paragraph">
                  <wp:posOffset>-1035685</wp:posOffset>
                </wp:positionV>
                <wp:extent cx="169481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9481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5pt,-81.5499pt" to="382.95pt,-81.5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4923790</wp:posOffset>
                </wp:positionH>
                <wp:positionV relativeFrom="paragraph">
                  <wp:posOffset>-1035685</wp:posOffset>
                </wp:positionV>
                <wp:extent cx="193675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3675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7pt,-81.5499pt" to="540.2pt,-81.5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-612140</wp:posOffset>
                </wp:positionV>
                <wp:extent cx="685800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65">
                          <a:solidFill>
                            <a:srgbClr val="FFFFFF"/>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48.1999pt" to="540.2pt,-48.1999pt" o:allowincell="f" strokecolor="#FFFFFF" strokeweight="0.13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-320040</wp:posOffset>
                </wp:positionV>
                <wp:extent cx="685800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25.1999pt" to="540.2pt,-25.1999pt" o:allowincell="f" strokecolor="#FFFFFF" strokeweight="0.14pt"/>
            </w:pict>
          </mc:Fallback>
        </mc:AlternateContent>
      </w:r>
    </w:p>
    <w:p>
      <w:pPr>
        <w:spacing w:after="0" w:line="190" w:lineRule="exact"/>
        <w:rPr>
          <w:sz w:val="20"/>
          <w:szCs w:val="20"/>
          <w:color w:val="auto"/>
        </w:rPr>
      </w:pPr>
    </w:p>
    <w:p>
      <w:pPr>
        <w:ind w:right="260" w:firstLine="360"/>
        <w:spacing w:after="0" w:line="252" w:lineRule="auto"/>
        <w:rPr>
          <w:sz w:val="20"/>
          <w:szCs w:val="20"/>
          <w:color w:val="auto"/>
        </w:rPr>
      </w:pPr>
      <w:r>
        <w:rPr>
          <w:rFonts w:ascii="Times New Roman" w:cs="Times New Roman" w:eastAsia="Times New Roman" w:hAnsi="Times New Roman"/>
          <w:sz w:val="20"/>
          <w:szCs w:val="20"/>
          <w:color w:val="auto"/>
        </w:rPr>
        <w:t>In addition to changes in interest rates, other factors impact the fair value of our interest rate-sensitive investments and hedging instruments, such as the shape of the yield curve, market expectations as to future interest rate changes and other market conditions. Accordingly, in the event of changes in actual interest rates, the change in the fair value of our assets would likely differ from that shown above and such difference might be material and adverse to our stockholders.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Repurchase Agreements</w:t>
      </w:r>
    </w:p>
    <w:p>
      <w:pPr>
        <w:spacing w:after="0" w:line="231" w:lineRule="exact"/>
        <w:rPr>
          <w:sz w:val="20"/>
          <w:szCs w:val="20"/>
          <w:color w:val="auto"/>
        </w:rPr>
      </w:pPr>
    </w:p>
    <w:p>
      <w:pPr>
        <w:ind w:right="60" w:firstLine="360"/>
        <w:spacing w:after="0" w:line="252" w:lineRule="auto"/>
        <w:rPr>
          <w:sz w:val="20"/>
          <w:szCs w:val="20"/>
          <w:color w:val="auto"/>
        </w:rPr>
      </w:pPr>
      <w:r>
        <w:rPr>
          <w:rFonts w:ascii="Times New Roman" w:cs="Times New Roman" w:eastAsia="Times New Roman" w:hAnsi="Times New Roman"/>
          <w:sz w:val="20"/>
          <w:szCs w:val="20"/>
          <w:color w:val="auto"/>
        </w:rPr>
        <w:t>As of December 31, 2025, we had established borrowing facilities in the repurchase agreement market with a number of commercial banks and other financial institutions and had borrowings in place with seven of these counterparties. We believe these facilities provide borrowing capacity in excess of our needs. None of these lenders are affiliated with the Company. These borrowings are secured by our MBS and cash.</w:t>
      </w:r>
    </w:p>
    <w:p>
      <w:pPr>
        <w:spacing w:after="0" w:line="183" w:lineRule="exact"/>
        <w:rPr>
          <w:sz w:val="20"/>
          <w:szCs w:val="20"/>
          <w:color w:val="auto"/>
        </w:rPr>
      </w:pPr>
    </w:p>
    <w:p>
      <w:pPr>
        <w:ind w:right="20" w:firstLine="360"/>
        <w:spacing w:after="0" w:line="245" w:lineRule="auto"/>
        <w:rPr>
          <w:sz w:val="20"/>
          <w:szCs w:val="20"/>
          <w:color w:val="auto"/>
        </w:rPr>
      </w:pPr>
      <w:r>
        <w:rPr>
          <w:rFonts w:ascii="Times New Roman" w:cs="Times New Roman" w:eastAsia="Times New Roman" w:hAnsi="Times New Roman"/>
          <w:sz w:val="20"/>
          <w:szCs w:val="20"/>
          <w:color w:val="auto"/>
        </w:rPr>
        <w:t>As of December 31, 2025, we had obligations outstanding under the repurchase agreements of approximately $85.3 million with a net weighted average borrowing cost of 3.98%. The remaining maturity of our outstanding repurchase agreement obligations ranged from 21 to 58 days, with a weighted average maturity of 31 days. Securing the repurchase agreement obligation as of December 31, 2025 are MBS with an estimated fair value, including accrued interest, of $89.2 million. Through March 13, 2026, we have been able to maintain our repurchase facilities with comparable terms to those that existed as of December 31, 2025 with maturities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through March 24, 2026.</w:t>
      </w:r>
    </w:p>
    <w:p>
      <w:pPr>
        <w:spacing w:after="0" w:line="202" w:lineRule="exact"/>
        <w:rPr>
          <w:sz w:val="20"/>
          <w:szCs w:val="20"/>
          <w:color w:val="auto"/>
        </w:rPr>
      </w:pPr>
    </w:p>
    <w:p>
      <w:pPr>
        <w:ind w:firstLine="360"/>
        <w:spacing w:after="0" w:line="278" w:lineRule="auto"/>
        <w:rPr>
          <w:sz w:val="20"/>
          <w:szCs w:val="20"/>
          <w:color w:val="auto"/>
        </w:rPr>
      </w:pPr>
      <w:r>
        <w:rPr>
          <w:rFonts w:ascii="Times New Roman" w:cs="Times New Roman" w:eastAsia="Times New Roman" w:hAnsi="Times New Roman"/>
          <w:sz w:val="20"/>
          <w:szCs w:val="20"/>
          <w:color w:val="auto"/>
        </w:rPr>
        <w:t>The table below presents information about our period-end and average repurchase agreement obligations for each quarter in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800"/>
          </w:cols>
          <w:pgMar w:left="720" w:top="785" w:right="720" w:bottom="135" w:gutter="0" w:footer="0" w:header="0"/>
        </w:sectPr>
      </w:pPr>
    </w:p>
    <w:bookmarkStart w:id="45" w:name="page46"/>
    <w:bookmarkEnd w:id="45"/>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23495</wp:posOffset>
                </wp:positionV>
                <wp:extent cx="685800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pt,1.85pt" to="541.2pt,1.85pt" o:allowincell="f" strokecolor="#FFFFFF" strokeweight="0.14pt"/>
            </w:pict>
          </mc:Fallback>
        </mc:AlternateConten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4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60" w:type="dxa"/>
            <w:vAlign w:val="bottom"/>
            <w:tcBorders>
              <w:top w:val="single" w:sz="8" w:color="auto"/>
            </w:tcBorders>
            <w:gridSpan w:val="6"/>
          </w:tcPr>
          <w:p>
            <w:pPr>
              <w:jc w:val="center"/>
              <w:ind w:right="230"/>
              <w:spacing w:after="0" w:line="191" w:lineRule="exact"/>
              <w:rPr>
                <w:sz w:val="20"/>
                <w:szCs w:val="20"/>
                <w:color w:val="auto"/>
              </w:rPr>
            </w:pPr>
            <w:r>
              <w:rPr>
                <w:rFonts w:ascii="Times New Roman" w:cs="Times New Roman" w:eastAsia="Times New Roman" w:hAnsi="Times New Roman"/>
                <w:sz w:val="18"/>
                <w:szCs w:val="18"/>
                <w:b w:val="1"/>
                <w:bCs w:val="1"/>
                <w:color w:val="auto"/>
                <w:w w:val="99"/>
              </w:rPr>
              <w:t>Difference Between Ending</w:t>
            </w:r>
          </w:p>
        </w:tc>
        <w:tc>
          <w:tcPr>
            <w:tcW w:w="0" w:type="dxa"/>
            <w:vAlign w:val="bottom"/>
          </w:tcPr>
          <w:p>
            <w:pPr>
              <w:spacing w:after="0"/>
              <w:rPr>
                <w:sz w:val="1"/>
                <w:szCs w:val="1"/>
                <w:color w:val="auto"/>
              </w:rPr>
            </w:pPr>
          </w:p>
        </w:tc>
      </w:tr>
      <w:tr>
        <w:trPr>
          <w:trHeight w:val="217"/>
        </w:trPr>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Ending</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34"/>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560" w:type="dxa"/>
            <w:vAlign w:val="bottom"/>
            <w:gridSpan w:val="7"/>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Repurchase Agreements and</w:t>
            </w:r>
          </w:p>
        </w:tc>
        <w:tc>
          <w:tcPr>
            <w:tcW w:w="0" w:type="dxa"/>
            <w:vAlign w:val="bottom"/>
          </w:tcPr>
          <w:p>
            <w:pPr>
              <w:spacing w:after="0"/>
              <w:rPr>
                <w:sz w:val="1"/>
                <w:szCs w:val="1"/>
                <w:color w:val="auto"/>
              </w:rPr>
            </w:pPr>
          </w:p>
        </w:tc>
      </w:tr>
      <w:tr>
        <w:trPr>
          <w:trHeight w:val="217"/>
        </w:trPr>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Balance 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4"/>
              <w:spacing w:after="0"/>
              <w:rPr>
                <w:sz w:val="20"/>
                <w:szCs w:val="20"/>
                <w:color w:val="auto"/>
              </w:rPr>
            </w:pPr>
            <w:r>
              <w:rPr>
                <w:rFonts w:ascii="Times New Roman" w:cs="Times New Roman" w:eastAsia="Times New Roman" w:hAnsi="Times New Roman"/>
                <w:sz w:val="18"/>
                <w:szCs w:val="18"/>
                <w:b w:val="1"/>
                <w:bCs w:val="1"/>
                <w:color w:val="auto"/>
              </w:rPr>
              <w:t>Balance 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Balance of</w:t>
            </w:r>
          </w:p>
        </w:tc>
        <w:tc>
          <w:tcPr>
            <w:tcW w:w="100" w:type="dxa"/>
            <w:vAlign w:val="bottom"/>
          </w:tcPr>
          <w:p>
            <w:pPr>
              <w:spacing w:after="0"/>
              <w:rPr>
                <w:sz w:val="18"/>
                <w:szCs w:val="18"/>
                <w:color w:val="auto"/>
              </w:rPr>
            </w:pPr>
          </w:p>
        </w:tc>
        <w:tc>
          <w:tcPr>
            <w:tcW w:w="1400" w:type="dxa"/>
            <w:vAlign w:val="bottom"/>
            <w:gridSpan w:val="4"/>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Repurchase</w:t>
            </w:r>
          </w:p>
        </w:tc>
        <w:tc>
          <w:tcPr>
            <w:tcW w:w="200" w:type="dxa"/>
            <w:vAlign w:val="bottom"/>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Repurchase</w:t>
            </w:r>
          </w:p>
        </w:tc>
        <w:tc>
          <w:tcPr>
            <w:tcW w:w="200" w:type="dxa"/>
            <w:vAlign w:val="bottom"/>
          </w:tcPr>
          <w:p>
            <w:pPr>
              <w:spacing w:after="0"/>
              <w:rPr>
                <w:sz w:val="20"/>
                <w:szCs w:val="20"/>
                <w:color w:val="auto"/>
              </w:rPr>
            </w:pPr>
          </w:p>
        </w:tc>
        <w:tc>
          <w:tcPr>
            <w:tcW w:w="1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Repurchase</w:t>
            </w: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Repurchase Agreements</w:t>
            </w:r>
          </w:p>
        </w:tc>
        <w:tc>
          <w:tcPr>
            <w:tcW w:w="0" w:type="dxa"/>
            <w:vAlign w:val="bottom"/>
          </w:tcPr>
          <w:p>
            <w:pPr>
              <w:spacing w:after="0"/>
              <w:rPr>
                <w:sz w:val="1"/>
                <w:szCs w:val="1"/>
                <w:color w:val="auto"/>
              </w:rPr>
            </w:pPr>
          </w:p>
        </w:tc>
      </w:tr>
      <w:tr>
        <w:trPr>
          <w:trHeight w:val="187"/>
        </w:trPr>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6"/>
                <w:szCs w:val="16"/>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Agreements</w:t>
            </w:r>
          </w:p>
        </w:tc>
        <w:tc>
          <w:tcPr>
            <w:tcW w:w="200" w:type="dxa"/>
            <w:vAlign w:val="bottom"/>
          </w:tcPr>
          <w:p>
            <w:pPr>
              <w:spacing w:after="0"/>
              <w:rPr>
                <w:sz w:val="16"/>
                <w:szCs w:val="16"/>
                <w:color w:val="auto"/>
              </w:rPr>
            </w:pPr>
          </w:p>
        </w:tc>
        <w:tc>
          <w:tcPr>
            <w:tcW w:w="106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Agreements</w:t>
            </w:r>
          </w:p>
        </w:tc>
        <w:tc>
          <w:tcPr>
            <w:tcW w:w="200" w:type="dxa"/>
            <w:vAlign w:val="bottom"/>
          </w:tcPr>
          <w:p>
            <w:pPr>
              <w:spacing w:after="0"/>
              <w:rPr>
                <w:sz w:val="16"/>
                <w:szCs w:val="16"/>
                <w:color w:val="auto"/>
              </w:rPr>
            </w:pPr>
          </w:p>
        </w:tc>
        <w:tc>
          <w:tcPr>
            <w:tcW w:w="1280" w:type="dxa"/>
            <w:vAlign w:val="bottom"/>
            <w:gridSpan w:val="3"/>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Agreements</w:t>
            </w:r>
          </w:p>
        </w:tc>
        <w:tc>
          <w:tcPr>
            <w:tcW w:w="100" w:type="dxa"/>
            <w:vAlign w:val="bottom"/>
          </w:tcPr>
          <w:p>
            <w:pPr>
              <w:spacing w:after="0"/>
              <w:rPr>
                <w:sz w:val="16"/>
                <w:szCs w:val="16"/>
                <w:color w:val="auto"/>
              </w:rPr>
            </w:pPr>
          </w:p>
        </w:tc>
        <w:tc>
          <w:tcPr>
            <w:tcW w:w="14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gridSpan w:val="2"/>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5"/>
        </w:trPr>
        <w:tc>
          <w:tcPr>
            <w:tcW w:w="43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0"/>
                <w:szCs w:val="10"/>
                <w:b w:val="1"/>
                <w:bCs w:val="1"/>
                <w:color w:val="auto"/>
              </w:rPr>
              <w:t>(1)</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0"/>
                <w:szCs w:val="10"/>
                <w:b w:val="1"/>
                <w:bCs w:val="1"/>
                <w:color w:val="auto"/>
              </w:rPr>
              <w:t>(2)</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vMerge w:val="continue"/>
          </w:tcPr>
          <w:p>
            <w:pPr>
              <w:spacing w:after="0"/>
              <w:rPr>
                <w:sz w:val="18"/>
                <w:szCs w:val="18"/>
                <w:color w:val="auto"/>
              </w:rPr>
            </w:pPr>
          </w:p>
        </w:tc>
        <w:tc>
          <w:tcPr>
            <w:tcW w:w="10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32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rPr>
              <w:t>December 31, 2025</w:t>
            </w: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85,326</w:t>
            </w:r>
          </w:p>
        </w:tc>
        <w:tc>
          <w:tcPr>
            <w:tcW w:w="2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3"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96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99,953</w:t>
            </w:r>
          </w:p>
        </w:tc>
        <w:tc>
          <w:tcPr>
            <w:tcW w:w="2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shd w:val="clear" w:color="auto" w:fill="DDDDDD"/>
          </w:tcPr>
          <w:p>
            <w:pPr>
              <w:ind w:left="480"/>
              <w:spacing w:after="0" w:line="182" w:lineRule="exact"/>
              <w:rPr>
                <w:sz w:val="20"/>
                <w:szCs w:val="20"/>
                <w:color w:val="auto"/>
              </w:rPr>
            </w:pPr>
            <w:r>
              <w:rPr>
                <w:rFonts w:ascii="Times New Roman" w:cs="Times New Roman" w:eastAsia="Times New Roman" w:hAnsi="Times New Roman"/>
                <w:sz w:val="18"/>
                <w:szCs w:val="18"/>
                <w:color w:val="auto"/>
                <w:w w:val="96"/>
              </w:rPr>
              <w:t>92,640</w:t>
            </w:r>
          </w:p>
        </w:tc>
        <w:tc>
          <w:tcPr>
            <w:tcW w:w="2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6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(7,314</w:t>
            </w:r>
          </w:p>
        </w:tc>
        <w:tc>
          <w:tcPr>
            <w:tcW w:w="2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3" w:lineRule="exact"/>
              <w:rPr>
                <w:sz w:val="20"/>
                <w:szCs w:val="20"/>
                <w:color w:val="auto"/>
              </w:rPr>
            </w:pPr>
            <w:r>
              <w:rPr>
                <w:rFonts w:ascii="Times New Roman" w:cs="Times New Roman" w:eastAsia="Times New Roman" w:hAnsi="Times New Roman"/>
                <w:sz w:val="16"/>
                <w:szCs w:val="16"/>
                <w:color w:val="auto"/>
                <w:highlight w:val="lightGray"/>
                <w:w w:val="74"/>
              </w:rPr>
              <w:t>)</w:t>
            </w:r>
          </w:p>
        </w:tc>
        <w:tc>
          <w:tcPr>
            <w:tcW w:w="320" w:type="dxa"/>
            <w:vAlign w:val="bottom"/>
            <w:tcBorders>
              <w:top w:val="single" w:sz="8" w:color="DDDDDD"/>
              <w:bottom w:val="single" w:sz="8" w:color="DDDDDD"/>
            </w:tcBorders>
            <w:shd w:val="clear" w:color="auto" w:fill="DDDDDD"/>
          </w:tcPr>
          <w:p>
            <w:pPr>
              <w:spacing w:after="0"/>
              <w:rPr>
                <w:sz w:val="15"/>
                <w:szCs w:val="15"/>
                <w:color w:val="auto"/>
              </w:rPr>
            </w:pPr>
          </w:p>
        </w:tc>
        <w:tc>
          <w:tcPr>
            <w:tcW w:w="84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(7.90</w:t>
            </w:r>
          </w:p>
        </w:tc>
        <w:tc>
          <w:tcPr>
            <w:tcW w:w="22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95"/>
              </w:rPr>
              <w:t>)%</w:t>
            </w:r>
          </w:p>
        </w:tc>
        <w:tc>
          <w:tcPr>
            <w:tcW w:w="0" w:type="dxa"/>
            <w:vAlign w:val="bottom"/>
          </w:tcPr>
          <w:p>
            <w:pPr>
              <w:spacing w:after="0"/>
              <w:rPr>
                <w:sz w:val="1"/>
                <w:szCs w:val="1"/>
                <w:color w:val="auto"/>
              </w:rPr>
            </w:pPr>
          </w:p>
        </w:tc>
      </w:tr>
      <w:tr>
        <w:trPr>
          <w:trHeight w:val="201"/>
        </w:trPr>
        <w:tc>
          <w:tcPr>
            <w:tcW w:w="432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rPr>
              <w:t>September 30, 2025</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99,953</w:t>
            </w:r>
          </w:p>
        </w:tc>
        <w:tc>
          <w:tcPr>
            <w:tcW w:w="2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6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101,788</w:t>
            </w:r>
          </w:p>
        </w:tc>
        <w:tc>
          <w:tcPr>
            <w:tcW w:w="2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ind w:left="380"/>
              <w:spacing w:after="0" w:line="201" w:lineRule="exact"/>
              <w:rPr>
                <w:sz w:val="20"/>
                <w:szCs w:val="20"/>
                <w:color w:val="auto"/>
              </w:rPr>
            </w:pPr>
            <w:r>
              <w:rPr>
                <w:rFonts w:ascii="Times New Roman" w:cs="Times New Roman" w:eastAsia="Times New Roman" w:hAnsi="Times New Roman"/>
                <w:sz w:val="18"/>
                <w:szCs w:val="18"/>
                <w:color w:val="auto"/>
                <w:w w:val="99"/>
              </w:rPr>
              <w:t>100,848</w:t>
            </w:r>
          </w:p>
        </w:tc>
        <w:tc>
          <w:tcPr>
            <w:tcW w:w="2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6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(895</w:t>
            </w:r>
          </w:p>
        </w:tc>
        <w:tc>
          <w:tcPr>
            <w:tcW w:w="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DDDDDD"/>
            </w:tcBorders>
          </w:tcPr>
          <w:p>
            <w:pPr>
              <w:spacing w:after="0"/>
              <w:rPr>
                <w:sz w:val="17"/>
                <w:szCs w:val="17"/>
                <w:color w:val="auto"/>
              </w:rPr>
            </w:pPr>
          </w:p>
        </w:tc>
        <w:tc>
          <w:tcPr>
            <w:tcW w:w="84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(0.89</w:t>
            </w:r>
          </w:p>
        </w:tc>
        <w:tc>
          <w:tcPr>
            <w:tcW w:w="22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192"/>
        </w:trPr>
        <w:tc>
          <w:tcPr>
            <w:tcW w:w="4320" w:type="dxa"/>
            <w:vAlign w:val="bottom"/>
            <w:tcBorders>
              <w:bottom w:val="single" w:sz="8" w:color="DDDDDD"/>
            </w:tcBorders>
            <w:shd w:val="clear" w:color="auto" w:fill="DDDDDD"/>
          </w:tcPr>
          <w:p>
            <w:pPr>
              <w:spacing w:after="0" w:line="193" w:lineRule="exact"/>
              <w:rPr>
                <w:sz w:val="20"/>
                <w:szCs w:val="20"/>
                <w:color w:val="auto"/>
              </w:rPr>
            </w:pPr>
            <w:r>
              <w:rPr>
                <w:rFonts w:ascii="Times New Roman" w:cs="Times New Roman" w:eastAsia="Times New Roman" w:hAnsi="Times New Roman"/>
                <w:sz w:val="18"/>
                <w:szCs w:val="18"/>
                <w:color w:val="auto"/>
              </w:rPr>
              <w:t>June 30, 2025</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101,742</w:t>
            </w:r>
          </w:p>
        </w:tc>
        <w:tc>
          <w:tcPr>
            <w:tcW w:w="2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6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115,096</w:t>
            </w:r>
          </w:p>
        </w:tc>
        <w:tc>
          <w:tcPr>
            <w:tcW w:w="2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ind w:left="380"/>
              <w:spacing w:after="0" w:line="193" w:lineRule="exact"/>
              <w:rPr>
                <w:sz w:val="20"/>
                <w:szCs w:val="20"/>
                <w:color w:val="auto"/>
              </w:rPr>
            </w:pPr>
            <w:r>
              <w:rPr>
                <w:rFonts w:ascii="Times New Roman" w:cs="Times New Roman" w:eastAsia="Times New Roman" w:hAnsi="Times New Roman"/>
                <w:sz w:val="18"/>
                <w:szCs w:val="18"/>
                <w:color w:val="auto"/>
                <w:w w:val="99"/>
              </w:rPr>
              <w:t>108,626</w:t>
            </w:r>
          </w:p>
        </w:tc>
        <w:tc>
          <w:tcPr>
            <w:tcW w:w="2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6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(6,884</w:t>
            </w:r>
          </w:p>
        </w:tc>
        <w:tc>
          <w:tcPr>
            <w:tcW w:w="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320" w:type="dxa"/>
            <w:vAlign w:val="bottom"/>
            <w:tcBorders>
              <w:bottom w:val="single" w:sz="8" w:color="DDDDDD"/>
            </w:tcBorders>
            <w:shd w:val="clear" w:color="auto" w:fill="DDDDDD"/>
          </w:tcPr>
          <w:p>
            <w:pPr>
              <w:spacing w:after="0"/>
              <w:rPr>
                <w:sz w:val="16"/>
                <w:szCs w:val="16"/>
                <w:color w:val="auto"/>
              </w:rPr>
            </w:pPr>
          </w:p>
        </w:tc>
        <w:tc>
          <w:tcPr>
            <w:tcW w:w="84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(6.34</w:t>
            </w:r>
          </w:p>
        </w:tc>
        <w:tc>
          <w:tcPr>
            <w:tcW w:w="22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highlight w:val="lightGray"/>
                <w:w w:val="95"/>
              </w:rPr>
              <w:t>)%</w:t>
            </w:r>
          </w:p>
        </w:tc>
        <w:tc>
          <w:tcPr>
            <w:tcW w:w="0" w:type="dxa"/>
            <w:vAlign w:val="bottom"/>
          </w:tcPr>
          <w:p>
            <w:pPr>
              <w:spacing w:after="0"/>
              <w:rPr>
                <w:sz w:val="1"/>
                <w:szCs w:val="1"/>
                <w:color w:val="auto"/>
              </w:rPr>
            </w:pPr>
          </w:p>
        </w:tc>
      </w:tr>
      <w:tr>
        <w:trPr>
          <w:trHeight w:val="202"/>
        </w:trPr>
        <w:tc>
          <w:tcPr>
            <w:tcW w:w="4320" w:type="dxa"/>
            <w:vAlign w:val="bottom"/>
            <w:tcBorders>
              <w:bottom w:val="single" w:sz="8" w:color="DDDDDD"/>
            </w:tcBorders>
          </w:tcPr>
          <w:p>
            <w:pPr>
              <w:spacing w:after="0" w:line="202" w:lineRule="exact"/>
              <w:rPr>
                <w:sz w:val="20"/>
                <w:szCs w:val="20"/>
                <w:color w:val="auto"/>
              </w:rPr>
            </w:pPr>
            <w:r>
              <w:rPr>
                <w:rFonts w:ascii="Times New Roman" w:cs="Times New Roman" w:eastAsia="Times New Roman" w:hAnsi="Times New Roman"/>
                <w:sz w:val="18"/>
                <w:szCs w:val="18"/>
                <w:color w:val="auto"/>
              </w:rPr>
              <w:t>March 31, 2025</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115,511</w:t>
            </w:r>
          </w:p>
        </w:tc>
        <w:tc>
          <w:tcPr>
            <w:tcW w:w="2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6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117,603</w:t>
            </w:r>
          </w:p>
        </w:tc>
        <w:tc>
          <w:tcPr>
            <w:tcW w:w="2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ind w:left="380"/>
              <w:spacing w:after="0" w:line="202" w:lineRule="exact"/>
              <w:rPr>
                <w:sz w:val="20"/>
                <w:szCs w:val="20"/>
                <w:color w:val="auto"/>
              </w:rPr>
            </w:pPr>
            <w:r>
              <w:rPr>
                <w:rFonts w:ascii="Times New Roman" w:cs="Times New Roman" w:eastAsia="Times New Roman" w:hAnsi="Times New Roman"/>
                <w:sz w:val="18"/>
                <w:szCs w:val="18"/>
                <w:color w:val="auto"/>
                <w:w w:val="99"/>
              </w:rPr>
              <w:t>116,346</w:t>
            </w:r>
          </w:p>
        </w:tc>
        <w:tc>
          <w:tcPr>
            <w:tcW w:w="2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(835</w:t>
            </w:r>
          </w:p>
        </w:tc>
        <w:tc>
          <w:tcPr>
            <w:tcW w:w="1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DDDDDD"/>
            </w:tcBorders>
          </w:tcPr>
          <w:p>
            <w:pPr>
              <w:spacing w:after="0"/>
              <w:rPr>
                <w:sz w:val="17"/>
                <w:szCs w:val="17"/>
                <w:color w:val="auto"/>
              </w:rPr>
            </w:pPr>
          </w:p>
        </w:tc>
        <w:tc>
          <w:tcPr>
            <w:tcW w:w="84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(0.72</w:t>
            </w:r>
          </w:p>
        </w:tc>
        <w:tc>
          <w:tcPr>
            <w:tcW w:w="22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192"/>
        </w:trPr>
        <w:tc>
          <w:tcPr>
            <w:tcW w:w="4320" w:type="dxa"/>
            <w:vAlign w:val="bottom"/>
            <w:tcBorders>
              <w:bottom w:val="single" w:sz="8" w:color="DDDDDD"/>
            </w:tcBorders>
            <w:shd w:val="clear" w:color="auto" w:fill="DDDDDD"/>
          </w:tcPr>
          <w:p>
            <w:pPr>
              <w:spacing w:after="0" w:line="193" w:lineRule="exact"/>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117,181</w:t>
            </w:r>
          </w:p>
        </w:tc>
        <w:tc>
          <w:tcPr>
            <w:tcW w:w="2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6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117,324</w:t>
            </w:r>
          </w:p>
        </w:tc>
        <w:tc>
          <w:tcPr>
            <w:tcW w:w="2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ind w:left="380"/>
              <w:spacing w:after="0" w:line="193" w:lineRule="exact"/>
              <w:rPr>
                <w:sz w:val="20"/>
                <w:szCs w:val="20"/>
                <w:color w:val="auto"/>
              </w:rPr>
            </w:pPr>
            <w:r>
              <w:rPr>
                <w:rFonts w:ascii="Times New Roman" w:cs="Times New Roman" w:eastAsia="Times New Roman" w:hAnsi="Times New Roman"/>
                <w:sz w:val="18"/>
                <w:szCs w:val="18"/>
                <w:color w:val="auto"/>
                <w:w w:val="99"/>
              </w:rPr>
              <w:t>115,102</w:t>
            </w:r>
          </w:p>
        </w:tc>
        <w:tc>
          <w:tcPr>
            <w:tcW w:w="2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6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2,079</w:t>
            </w:r>
          </w:p>
        </w:tc>
        <w:tc>
          <w:tcPr>
            <w:tcW w:w="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320" w:type="dxa"/>
            <w:vAlign w:val="bottom"/>
            <w:tcBorders>
              <w:bottom w:val="single" w:sz="8" w:color="DDDDDD"/>
            </w:tcBorders>
            <w:shd w:val="clear" w:color="auto" w:fill="DDDDDD"/>
          </w:tcPr>
          <w:p>
            <w:pPr>
              <w:spacing w:after="0"/>
              <w:rPr>
                <w:sz w:val="16"/>
                <w:szCs w:val="16"/>
                <w:color w:val="auto"/>
              </w:rPr>
            </w:pPr>
          </w:p>
        </w:tc>
        <w:tc>
          <w:tcPr>
            <w:tcW w:w="84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1.81</w:t>
            </w:r>
          </w:p>
        </w:tc>
        <w:tc>
          <w:tcPr>
            <w:tcW w:w="22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0" w:type="dxa"/>
            <w:vAlign w:val="bottom"/>
          </w:tcPr>
          <w:p>
            <w:pPr>
              <w:spacing w:after="0"/>
              <w:rPr>
                <w:sz w:val="1"/>
                <w:szCs w:val="1"/>
                <w:color w:val="auto"/>
              </w:rPr>
            </w:pPr>
          </w:p>
        </w:tc>
      </w:tr>
      <w:tr>
        <w:trPr>
          <w:trHeight w:val="202"/>
        </w:trPr>
        <w:tc>
          <w:tcPr>
            <w:tcW w:w="4320" w:type="dxa"/>
            <w:vAlign w:val="bottom"/>
            <w:tcBorders>
              <w:bottom w:val="single" w:sz="8" w:color="DDDDDD"/>
            </w:tcBorders>
          </w:tcPr>
          <w:p>
            <w:pPr>
              <w:spacing w:after="0" w:line="202" w:lineRule="exact"/>
              <w:rPr>
                <w:sz w:val="20"/>
                <w:szCs w:val="20"/>
                <w:color w:val="auto"/>
              </w:rPr>
            </w:pPr>
            <w:r>
              <w:rPr>
                <w:rFonts w:ascii="Times New Roman" w:cs="Times New Roman" w:eastAsia="Times New Roman" w:hAnsi="Times New Roman"/>
                <w:sz w:val="18"/>
                <w:szCs w:val="18"/>
                <w:color w:val="auto"/>
              </w:rPr>
              <w:t>September 30, 2024</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113,023</w:t>
            </w:r>
          </w:p>
        </w:tc>
        <w:tc>
          <w:tcPr>
            <w:tcW w:w="2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6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113,026</w:t>
            </w:r>
          </w:p>
        </w:tc>
        <w:tc>
          <w:tcPr>
            <w:tcW w:w="2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ind w:left="480"/>
              <w:spacing w:after="0" w:line="202" w:lineRule="exact"/>
              <w:rPr>
                <w:sz w:val="20"/>
                <w:szCs w:val="20"/>
                <w:color w:val="auto"/>
              </w:rPr>
            </w:pPr>
            <w:r>
              <w:rPr>
                <w:rFonts w:ascii="Times New Roman" w:cs="Times New Roman" w:eastAsia="Times New Roman" w:hAnsi="Times New Roman"/>
                <w:sz w:val="18"/>
                <w:szCs w:val="18"/>
                <w:color w:val="auto"/>
                <w:w w:val="96"/>
              </w:rPr>
              <w:t>97,949</w:t>
            </w:r>
          </w:p>
        </w:tc>
        <w:tc>
          <w:tcPr>
            <w:tcW w:w="2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6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15,074</w:t>
            </w:r>
          </w:p>
        </w:tc>
        <w:tc>
          <w:tcPr>
            <w:tcW w:w="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320" w:type="dxa"/>
            <w:vAlign w:val="bottom"/>
            <w:tcBorders>
              <w:bottom w:val="single" w:sz="8" w:color="DDDDDD"/>
            </w:tcBorders>
          </w:tcPr>
          <w:p>
            <w:pPr>
              <w:spacing w:after="0"/>
              <w:rPr>
                <w:sz w:val="17"/>
                <w:szCs w:val="17"/>
                <w:color w:val="auto"/>
              </w:rPr>
            </w:pPr>
          </w:p>
        </w:tc>
        <w:tc>
          <w:tcPr>
            <w:tcW w:w="1060" w:type="dxa"/>
            <w:vAlign w:val="bottom"/>
            <w:tcBorders>
              <w:bottom w:val="single" w:sz="8" w:color="DDDDDD"/>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15.39 %</w:t>
            </w:r>
          </w:p>
        </w:tc>
        <w:tc>
          <w:tcPr>
            <w:tcW w:w="0" w:type="dxa"/>
            <w:vAlign w:val="bottom"/>
          </w:tcPr>
          <w:p>
            <w:pPr>
              <w:spacing w:after="0"/>
              <w:rPr>
                <w:sz w:val="1"/>
                <w:szCs w:val="1"/>
                <w:color w:val="auto"/>
              </w:rPr>
            </w:pPr>
          </w:p>
        </w:tc>
      </w:tr>
      <w:tr>
        <w:trPr>
          <w:trHeight w:val="212"/>
        </w:trPr>
        <w:tc>
          <w:tcPr>
            <w:tcW w:w="432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June 30, 2024</w:t>
            </w:r>
          </w:p>
        </w:tc>
        <w:tc>
          <w:tcPr>
            <w:tcW w:w="10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82,876</w:t>
            </w:r>
          </w:p>
        </w:tc>
        <w:tc>
          <w:tcPr>
            <w:tcW w:w="20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9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84,553</w:t>
            </w:r>
          </w:p>
        </w:tc>
        <w:tc>
          <w:tcPr>
            <w:tcW w:w="20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980" w:type="dxa"/>
            <w:vAlign w:val="bottom"/>
            <w:tcBorders>
              <w:bottom w:val="single" w:sz="8" w:color="DDDDDD"/>
            </w:tcBorders>
            <w:shd w:val="clear" w:color="auto" w:fill="DDDDDD"/>
          </w:tcPr>
          <w:p>
            <w:pPr>
              <w:ind w:left="480"/>
              <w:spacing w:after="0" w:line="191" w:lineRule="exact"/>
              <w:rPr>
                <w:sz w:val="20"/>
                <w:szCs w:val="20"/>
                <w:color w:val="auto"/>
              </w:rPr>
            </w:pPr>
            <w:r>
              <w:rPr>
                <w:rFonts w:ascii="Times New Roman" w:cs="Times New Roman" w:eastAsia="Times New Roman" w:hAnsi="Times New Roman"/>
                <w:sz w:val="18"/>
                <w:szCs w:val="18"/>
                <w:color w:val="auto"/>
                <w:w w:val="96"/>
              </w:rPr>
              <w:t>83,737</w:t>
            </w:r>
          </w:p>
        </w:tc>
        <w:tc>
          <w:tcPr>
            <w:tcW w:w="20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9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(861</w:t>
            </w:r>
          </w:p>
        </w:tc>
        <w:tc>
          <w:tcPr>
            <w:tcW w:w="2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320" w:type="dxa"/>
            <w:vAlign w:val="bottom"/>
            <w:tcBorders>
              <w:bottom w:val="single" w:sz="8" w:color="DDDDDD"/>
            </w:tcBorders>
            <w:shd w:val="clear" w:color="auto" w:fill="DDDDDD"/>
          </w:tcPr>
          <w:p>
            <w:pPr>
              <w:spacing w:after="0"/>
              <w:rPr>
                <w:sz w:val="18"/>
                <w:szCs w:val="18"/>
                <w:color w:val="auto"/>
              </w:rPr>
            </w:pPr>
          </w:p>
        </w:tc>
        <w:tc>
          <w:tcPr>
            <w:tcW w:w="8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(1.03</w:t>
            </w:r>
          </w:p>
        </w:tc>
        <w:tc>
          <w:tcPr>
            <w:tcW w:w="22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95"/>
              </w:rPr>
              <w:t>)%</w:t>
            </w:r>
          </w:p>
        </w:tc>
        <w:tc>
          <w:tcPr>
            <w:tcW w:w="0" w:type="dxa"/>
            <w:vAlign w:val="bottom"/>
          </w:tcPr>
          <w:p>
            <w:pPr>
              <w:spacing w:after="0"/>
              <w:rPr>
                <w:sz w:val="1"/>
                <w:szCs w:val="1"/>
                <w:color w:val="auto"/>
              </w:rPr>
            </w:pPr>
          </w:p>
        </w:tc>
      </w:tr>
      <w:tr>
        <w:trPr>
          <w:trHeight w:val="206"/>
        </w:trPr>
        <w:tc>
          <w:tcPr>
            <w:tcW w:w="432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March 31, 2024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84,599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87,523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ind w:left="480"/>
              <w:spacing w:after="0" w:line="206" w:lineRule="exact"/>
              <w:rPr>
                <w:sz w:val="20"/>
                <w:szCs w:val="20"/>
                <w:color w:val="auto"/>
              </w:rPr>
            </w:pPr>
            <w:r>
              <w:rPr>
                <w:rFonts w:ascii="Times New Roman" w:cs="Times New Roman" w:eastAsia="Times New Roman" w:hAnsi="Times New Roman"/>
                <w:sz w:val="18"/>
                <w:szCs w:val="18"/>
                <w:color w:val="auto"/>
                <w:w w:val="96"/>
              </w:rPr>
              <w:t>85,753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(1,154</w:t>
            </w: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spacing w:after="0"/>
              <w:rPr>
                <w:sz w:val="17"/>
                <w:szCs w:val="17"/>
                <w:color w:val="auto"/>
              </w:rPr>
            </w:pPr>
          </w:p>
        </w:tc>
        <w:tc>
          <w:tcPr>
            <w:tcW w:w="84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5244465</wp:posOffset>
                </wp:positionH>
                <wp:positionV relativeFrom="paragraph">
                  <wp:posOffset>-1369695</wp:posOffset>
                </wp:positionV>
                <wp:extent cx="162877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287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2.95pt,-107.8499pt" to="541.2pt,-107.8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15240</wp:posOffset>
                </wp:positionH>
                <wp:positionV relativeFrom="paragraph">
                  <wp:posOffset>-977265</wp:posOffset>
                </wp:positionV>
                <wp:extent cx="685800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pt,-76.9499pt" to="541.2pt,-76.9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15240</wp:posOffset>
                </wp:positionH>
                <wp:positionV relativeFrom="paragraph">
                  <wp:posOffset>-702310</wp:posOffset>
                </wp:positionV>
                <wp:extent cx="685800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pt,-55.2999pt" to="541.2pt,-55.2999pt" o:allowincell="f" strokecolor="#FFFFFF" strokeweight="0.24pt"/>
            </w:pict>
          </mc:Fallback>
        </mc:AlternateContent>
      </w:r>
    </w:p>
    <w:p>
      <w:pPr>
        <w:spacing w:after="0" w:line="172" w:lineRule="exact"/>
        <w:rPr>
          <w:sz w:val="20"/>
          <w:szCs w:val="20"/>
          <w:color w:val="auto"/>
        </w:rPr>
      </w:pPr>
    </w:p>
    <w:p>
      <w:pPr>
        <w:ind w:left="380" w:right="520" w:hanging="350"/>
        <w:spacing w:after="0" w:line="259"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balance during the quarter reflects the highest daily close-of business balance outstanding under repurchase agreements for the period.</w:t>
      </w:r>
    </w:p>
    <w:p>
      <w:pPr>
        <w:spacing w:after="0" w:line="1" w:lineRule="exact"/>
        <w:rPr>
          <w:rFonts w:ascii="Times New Roman" w:cs="Times New Roman" w:eastAsia="Times New Roman" w:hAnsi="Times New Roman"/>
          <w:sz w:val="18"/>
          <w:szCs w:val="18"/>
          <w:color w:val="auto"/>
        </w:rPr>
      </w:pPr>
    </w:p>
    <w:p>
      <w:pPr>
        <w:ind w:left="380" w:hanging="350"/>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balances for the quarterly periods are calculated using two data points, the beginning and ending balances for the period.</w:t>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35" w:lineRule="exact"/>
        <w:rPr>
          <w:sz w:val="20"/>
          <w:szCs w:val="20"/>
          <w:color w:val="auto"/>
        </w:rPr>
      </w:pPr>
    </w:p>
    <w:p>
      <w:pPr>
        <w:ind w:right="160" w:firstLine="360"/>
        <w:spacing w:after="0" w:line="245" w:lineRule="auto"/>
        <w:rPr>
          <w:sz w:val="20"/>
          <w:szCs w:val="20"/>
          <w:color w:val="auto"/>
        </w:rPr>
      </w:pPr>
      <w:r>
        <w:rPr>
          <w:rFonts w:ascii="Times New Roman" w:cs="Times New Roman" w:eastAsia="Times New Roman" w:hAnsi="Times New Roman"/>
          <w:sz w:val="20"/>
          <w:szCs w:val="20"/>
          <w:color w:val="auto"/>
        </w:rPr>
        <w:t>Liquidity is our ability to turn non-cash assets into cash to fund our operations and to meet our obligations in both the short-term (one year or less) and long-term (greater than one year). Our material cash requirements include the purchase of additional investments, repay principal and interest on repurchase agreements and long-term debt (see Note 9 to the consolidated financial statements included in Item 8 of Part II of this Report for more information related to the timing of principal payments and maturities of our long-term debt.), fund overhead and fulfill margin calls. We have both internal and external sources of liquidity. However, our material unused sources of liquidity include cash balances, unencumbered assets and our ability to sell encumbered assets to raise cash. Our balance sheet also generates liquidity on an on-going basis through payments of principal and interest we receive on our MBS portfolio and dividends we receive on our investment in Orchid common stock.</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Internal Sources of Liquidity</w:t>
      </w:r>
    </w:p>
    <w:p>
      <w:pPr>
        <w:spacing w:after="0" w:line="228" w:lineRule="exact"/>
        <w:rPr>
          <w:sz w:val="20"/>
          <w:szCs w:val="20"/>
          <w:color w:val="auto"/>
        </w:rPr>
      </w:pPr>
    </w:p>
    <w:p>
      <w:pPr>
        <w:ind w:left="20" w:right="460" w:firstLine="360"/>
        <w:spacing w:after="0" w:line="258" w:lineRule="auto"/>
        <w:rPr>
          <w:sz w:val="20"/>
          <w:szCs w:val="20"/>
          <w:color w:val="auto"/>
        </w:rPr>
      </w:pPr>
      <w:r>
        <w:rPr>
          <w:rFonts w:ascii="Times New Roman" w:cs="Times New Roman" w:eastAsia="Times New Roman" w:hAnsi="Times New Roman"/>
          <w:sz w:val="20"/>
          <w:szCs w:val="20"/>
          <w:color w:val="auto"/>
        </w:rPr>
        <w:t>Our internal sources of liquidity include our cash balances, unencumbered assets and our ability to liquidate our encumbered security holdings. Our balance sheet also generates liquidity on an ongoing basis through payments of principal and interest we receive on our MBS portfolio and dividends we receive on our investment in Orchid common stock.</w:t>
      </w:r>
    </w:p>
    <w:p>
      <w:pPr>
        <w:spacing w:after="0" w:line="178" w:lineRule="exact"/>
        <w:rPr>
          <w:sz w:val="20"/>
          <w:szCs w:val="20"/>
          <w:color w:val="auto"/>
        </w:rPr>
      </w:pPr>
    </w:p>
    <w:p>
      <w:pPr>
        <w:ind w:left="20" w:right="20" w:firstLine="360"/>
        <w:spacing w:after="0" w:line="247" w:lineRule="auto"/>
        <w:rPr>
          <w:sz w:val="20"/>
          <w:szCs w:val="20"/>
          <w:color w:val="auto"/>
        </w:rPr>
      </w:pPr>
      <w:r>
        <w:rPr>
          <w:rFonts w:ascii="Times New Roman" w:cs="Times New Roman" w:eastAsia="Times New Roman" w:hAnsi="Times New Roman"/>
          <w:sz w:val="20"/>
          <w:szCs w:val="20"/>
          <w:color w:val="auto"/>
        </w:rPr>
        <w:t>We employ a hedging strategy that typically involves taking short positions in T -Note and SOFR futures, TBAs or other instruments. When the market causes these short positions to decline in value we are required to meet margin calls with cash. This can reduce our liquidity position to the extent other securities in our portfolio move in price in such a way that we do not receive enough cash through margin calls to offset the futures or TBA short position related margin calls. If this were to occur in sufficient magnitude, the loss of liquidity might force us to reduce the size of the levered portfolio, pledge additional structured securities to raise funds or risk operating the portfolio with less liquidity.</w:t>
      </w:r>
    </w:p>
    <w:p>
      <w:pPr>
        <w:spacing w:after="0" w:line="1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External Sources of Liquidity</w:t>
      </w:r>
    </w:p>
    <w:p>
      <w:pPr>
        <w:spacing w:after="0" w:line="228" w:lineRule="exact"/>
        <w:rPr>
          <w:sz w:val="20"/>
          <w:szCs w:val="20"/>
          <w:color w:val="auto"/>
        </w:rPr>
      </w:pPr>
    </w:p>
    <w:p>
      <w:pPr>
        <w:ind w:left="20" w:right="120" w:firstLine="360"/>
        <w:spacing w:after="0" w:line="247" w:lineRule="auto"/>
        <w:rPr>
          <w:sz w:val="20"/>
          <w:szCs w:val="20"/>
          <w:color w:val="auto"/>
        </w:rPr>
      </w:pPr>
      <w:r>
        <w:rPr>
          <w:rFonts w:ascii="Times New Roman" w:cs="Times New Roman" w:eastAsia="Times New Roman" w:hAnsi="Times New Roman"/>
          <w:sz w:val="20"/>
          <w:szCs w:val="20"/>
          <w:color w:val="auto"/>
        </w:rPr>
        <w:t>Our primary external sources of liquidity are our ability to (i) borrow under master repurchase agreements and (ii) use the TBA security market. Our borrowing capacity will vary over time as the market value of our interest earning assets varies. Our master repurchase agreements have no stated expiration, but can be terminated at any time at our option or at the option of the counterparty. However, once a definitive repurchase agreement under a master repurchase agreement has been entered into, it generally may not be terminated by either party. A negotiated termination can occur, but may involve a fee to be paid by the party seeking to terminate the repurchase agreement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820"/>
          </w:cols>
          <w:pgMar w:left="700" w:top="796" w:right="720" w:bottom="135" w:gutter="0" w:footer="0" w:header="0"/>
        </w:sectPr>
      </w:pPr>
    </w:p>
    <w:bookmarkStart w:id="46" w:name="page47"/>
    <w:bookmarkEnd w:id="46"/>
    <w:p>
      <w:pPr>
        <w:ind w:left="40" w:right="60" w:firstLine="360"/>
        <w:spacing w:after="0" w:line="245" w:lineRule="auto"/>
        <w:rPr>
          <w:sz w:val="20"/>
          <w:szCs w:val="20"/>
          <w:color w:val="auto"/>
        </w:rPr>
      </w:pPr>
      <w:r>
        <w:rPr>
          <w:rFonts w:ascii="Times New Roman" w:cs="Times New Roman" w:eastAsia="Times New Roman" w:hAnsi="Times New Roman"/>
          <w:sz w:val="20"/>
          <w:szCs w:val="20"/>
          <w:color w:val="auto"/>
        </w:rPr>
        <w:t>Under our repurchase agreement funding arrangements, we are required to post margin at the initiation of the borrowing. The margin posted represents the haircut, which is a percentage of the market value of the collateral pledged. To the extent the market value of the asset collateralizing the financing transaction declines, the market value of our posted margin will be insufficient and we will be required to post additional collateral. Conversely, if the market value of the asset pledged increases in value, we would be over collateralized and we would be entitled to have excess margin returned to us by the counterparty. Our lenders typically value our pledged securities daily to ensure the adequacy of our margin and make margin calls as needed, as do we. Typically, but not always, the parties agree to a minimum threshold amount for margin calls so as to avoid the need for nuisance margin calls on a daily basis. Our master repurchase agreements do not specify the haircut; rather haircuts are determined on an individual repo transaction basis.</w:t>
      </w:r>
    </w:p>
    <w:p>
      <w:pPr>
        <w:spacing w:after="0" w:line="192" w:lineRule="exact"/>
        <w:rPr>
          <w:sz w:val="20"/>
          <w:szCs w:val="20"/>
          <w:color w:val="auto"/>
        </w:rPr>
      </w:pPr>
    </w:p>
    <w:p>
      <w:pPr>
        <w:ind w:left="40" w:right="400" w:firstLine="360"/>
        <w:spacing w:after="0" w:line="254" w:lineRule="auto"/>
        <w:rPr>
          <w:sz w:val="20"/>
          <w:szCs w:val="20"/>
          <w:color w:val="auto"/>
        </w:rPr>
      </w:pPr>
      <w:r>
        <w:rPr>
          <w:rFonts w:ascii="Times New Roman" w:cs="Times New Roman" w:eastAsia="Times New Roman" w:hAnsi="Times New Roman"/>
          <w:sz w:val="20"/>
          <w:szCs w:val="20"/>
          <w:color w:val="auto"/>
        </w:rPr>
        <w:t>We invest a portion of our capital in structured MBS. We generally do not apply leverage to this portion of our portfolio. The leverage inherent in structured securities replaces the leverage obtained by acquiring PT securities and funding them in the</w:t>
      </w:r>
    </w:p>
    <w:p>
      <w:pPr>
        <w:spacing w:after="0" w:line="1" w:lineRule="exact"/>
        <w:rPr>
          <w:sz w:val="20"/>
          <w:szCs w:val="20"/>
          <w:color w:val="auto"/>
        </w:rPr>
      </w:pPr>
    </w:p>
    <w:p>
      <w:pPr>
        <w:ind w:left="40" w:right="460"/>
        <w:spacing w:after="0" w:line="249" w:lineRule="auto"/>
        <w:rPr>
          <w:sz w:val="20"/>
          <w:szCs w:val="20"/>
          <w:color w:val="auto"/>
        </w:rPr>
      </w:pPr>
      <w:r>
        <w:rPr>
          <w:rFonts w:ascii="Times New Roman" w:cs="Times New Roman" w:eastAsia="Times New Roman" w:hAnsi="Times New Roman"/>
          <w:sz w:val="20"/>
          <w:szCs w:val="20"/>
          <w:color w:val="auto"/>
        </w:rPr>
        <w:t>repo market. However, we have and may continue to pledge a portion of our structured MBS in order to raise our cash levels, but generally will not pledge these securities in order to acquire additional assets.</w:t>
      </w:r>
    </w:p>
    <w:p>
      <w:pPr>
        <w:spacing w:after="0" w:line="185" w:lineRule="exact"/>
        <w:rPr>
          <w:sz w:val="20"/>
          <w:szCs w:val="20"/>
          <w:color w:val="auto"/>
        </w:rPr>
      </w:pPr>
    </w:p>
    <w:p>
      <w:pPr>
        <w:ind w:left="40" w:right="80" w:firstLine="360"/>
        <w:spacing w:after="0" w:line="247" w:lineRule="auto"/>
        <w:rPr>
          <w:sz w:val="20"/>
          <w:szCs w:val="20"/>
          <w:color w:val="auto"/>
        </w:rPr>
      </w:pPr>
      <w:r>
        <w:rPr>
          <w:rFonts w:ascii="Times New Roman" w:cs="Times New Roman" w:eastAsia="Times New Roman" w:hAnsi="Times New Roman"/>
          <w:sz w:val="20"/>
          <w:szCs w:val="20"/>
          <w:color w:val="auto"/>
        </w:rPr>
        <w:t>In future periods we expect to continue to finance our activities through repurchase agreements and through revenues from our advisory services business. As of December 31, 2025, we had cash and cash equivalents of $12.7 million. We generated cash flows of $22.6 million from principal and interest payments on our MBS portfolio and had average repurchase agreements outstanding of $104.6 million during the year ended December 31, 2025. In addition, during the year ended December 31, 2025, we received approximately $16.6 million in management fees and expense reimbursements as manager of Orchid and approximately $0.8 million in dividends from our investment in Orchid common stock.</w:t>
      </w:r>
    </w:p>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color w:val="auto"/>
        </w:rPr>
        <w:t>Capital Expenditures</w:t>
      </w:r>
    </w:p>
    <w:p>
      <w:pPr>
        <w:spacing w:after="0" w:line="2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As of December 31, 2025, we had no material commitments for capital expenditures.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Outlook</w:t>
      </w:r>
    </w:p>
    <w:p>
      <w:pPr>
        <w:spacing w:after="0" w:line="2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Orchid Island Capital Inc.</w:t>
      </w:r>
    </w:p>
    <w:p>
      <w:pPr>
        <w:spacing w:after="0" w:line="230" w:lineRule="exact"/>
        <w:rPr>
          <w:sz w:val="20"/>
          <w:szCs w:val="20"/>
          <w:color w:val="auto"/>
        </w:rPr>
      </w:pPr>
    </w:p>
    <w:p>
      <w:pPr>
        <w:ind w:left="20" w:right="60" w:firstLine="360"/>
        <w:spacing w:after="0" w:line="247" w:lineRule="auto"/>
        <w:rPr>
          <w:sz w:val="20"/>
          <w:szCs w:val="20"/>
          <w:color w:val="auto"/>
        </w:rPr>
      </w:pPr>
      <w:r>
        <w:rPr>
          <w:rFonts w:ascii="Times New Roman" w:cs="Times New Roman" w:eastAsia="Times New Roman" w:hAnsi="Times New Roman"/>
          <w:sz w:val="20"/>
          <w:szCs w:val="20"/>
          <w:color w:val="auto"/>
        </w:rPr>
        <w:t>Orchid reported net income for the fourth quarter 2025 of $103.4 million, or $0.62 per share and its stockholders' equity increased from $1.086 billion to $1.372 billion. Orchid’s stockholders’ equity at the end of 2024 was $668.5 million so the increase to $1.372 billion represents an increase of approximately 105%. During the fourth quarter market conditions were favorable for levered MBS investors as Orchid reported gains on hedge instruments of $14.0 million and realized and unrealized gains on its MBS portfolio</w:t>
      </w:r>
    </w:p>
    <w:p>
      <w:pPr>
        <w:spacing w:after="0" w:line="2" w:lineRule="exact"/>
        <w:rPr>
          <w:sz w:val="20"/>
          <w:szCs w:val="20"/>
          <w:color w:val="auto"/>
        </w:rPr>
      </w:pPr>
    </w:p>
    <w:p>
      <w:pPr>
        <w:ind w:left="20" w:right="120"/>
        <w:spacing w:after="0" w:line="242" w:lineRule="auto"/>
        <w:rPr>
          <w:sz w:val="20"/>
          <w:szCs w:val="20"/>
          <w:color w:val="auto"/>
        </w:rPr>
      </w:pPr>
      <w:r>
        <w:rPr>
          <w:rFonts w:ascii="Times New Roman" w:cs="Times New Roman" w:eastAsia="Times New Roman" w:hAnsi="Times New Roman"/>
          <w:sz w:val="20"/>
          <w:szCs w:val="20"/>
          <w:color w:val="auto"/>
        </w:rPr>
        <w:t>of $56.7 million, which together equaled $70.7 million. Net income for the full year of 2025 was $159.0 million, or $1.24 per share. Orchid is obligated to reimburse Bimini for direct expenses paid on its behalf as well as Orchid’s pro-rate share of overhead expenses as defined in the management agreement. As a stockholder of Orchid, we will also continue to share in distributions, if any, paid by Orchid to its stockholders. Our operating results are also impacted by changes in the market value of our holdings of Orchid common shares, although these market value changes do not impact our cash flows from Orchid.</w:t>
      </w:r>
    </w:p>
    <w:p>
      <w:pPr>
        <w:spacing w:after="0" w:line="1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Economic Summary</w:t>
      </w:r>
    </w:p>
    <w:p>
      <w:pPr>
        <w:spacing w:after="0" w:line="230" w:lineRule="exact"/>
        <w:rPr>
          <w:sz w:val="20"/>
          <w:szCs w:val="20"/>
          <w:color w:val="auto"/>
        </w:rPr>
      </w:pPr>
    </w:p>
    <w:p>
      <w:pPr>
        <w:ind w:firstLine="360"/>
        <w:spacing w:after="0" w:line="243" w:lineRule="auto"/>
        <w:rPr>
          <w:sz w:val="20"/>
          <w:szCs w:val="20"/>
          <w:color w:val="auto"/>
        </w:rPr>
      </w:pPr>
      <w:r>
        <w:rPr>
          <w:rFonts w:ascii="Times New Roman" w:cs="Times New Roman" w:eastAsia="Times New Roman" w:hAnsi="Times New Roman"/>
          <w:sz w:val="20"/>
          <w:szCs w:val="20"/>
          <w:color w:val="auto"/>
        </w:rPr>
        <w:t>As the year 2025 came to a close, market conditions were relatively calm. The government shutdown that commenced October 1, 2025, and lasted for six weeks, indirectly contributed to the calm. As a result of the government shutdown, many entities that provide economic data to the markets were unable to do so and it took several weeks after the government reopened before they were able to resume. The lack of economic data deprived both the markets and Fed policy makers of the ability to gauge the performance of the economy and its many components, such as the labor market, consumer spending and price data. As a result, market participants and the Fed were left with limited data from private sources. The result of the data vacuum for the markets was a continuation of the status quo, as the market awaited further clarification on growth and inflation. Interest rates were stable and traded in a rather tight range. Interest rate implied volatility continued its long decline that started in early April 2025, after the Trump administration imposed broad tariffs. The FOMC opted to continue on their path of policy normalization by lowering the Fed Funds rate twice in the fourth quarter of 2025, in each case by 25 basis points. In doing so, the Fed believed they had reached the upper end of neutral – implying the neutral policy rate was in fact a range versus a specific rate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840"/>
          </w:cols>
          <w:pgMar w:left="680" w:top="785" w:right="720" w:bottom="135" w:gutter="0" w:footer="0" w:header="0"/>
        </w:sectPr>
      </w:pPr>
    </w:p>
    <w:bookmarkStart w:id="47" w:name="page48"/>
    <w:bookmarkEnd w:id="47"/>
    <w:p>
      <w:pPr>
        <w:ind w:firstLine="360"/>
        <w:spacing w:after="0" w:line="246" w:lineRule="auto"/>
        <w:rPr>
          <w:sz w:val="20"/>
          <w:szCs w:val="20"/>
          <w:color w:val="auto"/>
        </w:rPr>
      </w:pPr>
      <w:r>
        <w:rPr>
          <w:rFonts w:ascii="Times New Roman" w:cs="Times New Roman" w:eastAsia="Times New Roman" w:hAnsi="Times New Roman"/>
          <w:sz w:val="20"/>
          <w:szCs w:val="20"/>
          <w:color w:val="auto"/>
        </w:rPr>
        <w:t>As with prior quarters, the economy continues to operate with elevated inflation relative to the Fed’s 2% target, and with evidence of a fragile labor market. There is ample data to support either thesis regarding the outlook for the economy, and market participants and FOMC members are split on how monetary policy should be managed to address the Fed’s dual mandates. The two rate cuts that occurred during the fourth quarter of 2025 were the result of split votes whereby some members dissented in both the direction of more cuts and fewer, or no cuts. As we near the end of the first quarter of 2026 the dilemma persists, although the FOMC opted to hold policy steady at their January 2026 meeting, claiming they had time to monitor the incoming data for now as monetary policy was deemed near neutral and there was no pressing need to increase accommodation.</w:t>
      </w:r>
    </w:p>
    <w:p>
      <w:pPr>
        <w:spacing w:after="0" w:line="191" w:lineRule="exact"/>
        <w:rPr>
          <w:sz w:val="20"/>
          <w:szCs w:val="20"/>
          <w:color w:val="auto"/>
        </w:rPr>
      </w:pPr>
    </w:p>
    <w:p>
      <w:pPr>
        <w:ind w:right="80" w:firstLine="360"/>
        <w:spacing w:after="0" w:line="249" w:lineRule="auto"/>
        <w:rPr>
          <w:sz w:val="20"/>
          <w:szCs w:val="20"/>
          <w:color w:val="auto"/>
        </w:rPr>
      </w:pPr>
      <w:r>
        <w:rPr>
          <w:rFonts w:ascii="Times New Roman" w:cs="Times New Roman" w:eastAsia="Times New Roman" w:hAnsi="Times New Roman"/>
          <w:sz w:val="20"/>
          <w:szCs w:val="20"/>
          <w:color w:val="auto"/>
        </w:rPr>
        <w:t>One additional development that will likely impact monetary policy going forward was the decision by President Trump to nominate Kevin Warsh as the next chairman of the Fed in late January. The term of the current chairman, Jerome Powell, ends in May of 2026. While President Trump has been highly critical of Chairman Powell and openly stated his desire for lower interest rates, the market does not appear to anticipate incoming Chairman Warsh will aggressively lower the Fed Funds rate. In fact, incoming Chairman Warsh is expected to be more of a proponent of fighting inflation and shrinking the Fed’s balance sheet.</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i w:val="1"/>
          <w:iCs w:val="1"/>
          <w:color w:val="auto"/>
        </w:rPr>
        <w:t>Interest Rates</w:t>
      </w:r>
    </w:p>
    <w:p>
      <w:pPr>
        <w:spacing w:after="0" w:line="231" w:lineRule="exact"/>
        <w:rPr>
          <w:sz w:val="20"/>
          <w:szCs w:val="20"/>
          <w:color w:val="auto"/>
        </w:rPr>
      </w:pPr>
    </w:p>
    <w:p>
      <w:pPr>
        <w:ind w:left="20" w:right="60" w:firstLine="281"/>
        <w:spacing w:after="0" w:line="243" w:lineRule="auto"/>
        <w:rPr>
          <w:sz w:val="20"/>
          <w:szCs w:val="20"/>
          <w:color w:val="auto"/>
        </w:rPr>
      </w:pPr>
      <w:r>
        <w:rPr>
          <w:rFonts w:ascii="Times New Roman" w:cs="Times New Roman" w:eastAsia="Times New Roman" w:hAnsi="Times New Roman"/>
          <w:sz w:val="20"/>
          <w:szCs w:val="20"/>
          <w:color w:val="auto"/>
        </w:rPr>
        <w:t>As alluded to above, interest rates were quite stable over the course of the fourth quarter of 2025 and into the first quarter of 2026. All indicators of economic activity, while often of suspect quality and not always available or timely, did not indicate much changed during the fourth quarter. Inflation data remained above the Fed’s target, although there did not appear to be material flow-through from the tariffs implemented during the year, and the labor market, while not robust, did not appear to be deteriorating. The Fed lowered the Fed Funds rate two times in the fourth quarter – a continuation of their plan to bring monetary policy towards neutral – and signaled they had done so. Additional cuts may come if needed but are not anticipated in the near term. Longer maturity U.S. Treasury rates remained in a tight range throughout the fourth quarter and remained so into the first quarter of 2026. As a result of the two 25 basis point rate cuts by the Fed in the fourth quarter, the spread between the Fed Funds rate and the two-year U.S. Treasury is less inverted than was the case at September 30, 2025, reflecting both the cuts and the market pricing in fewer cuts in the future. Accordingly, the U.S. Treasury curve is slightly steeper, as evidenced by the spread between the 2-year and 10-year U.S. Treasury notes increasing from approximately 54 basis points to approximately 70 basis points at year-end.</w:t>
      </w:r>
    </w:p>
    <w:p>
      <w:pPr>
        <w:spacing w:after="0" w:line="199" w:lineRule="exact"/>
        <w:rPr>
          <w:sz w:val="20"/>
          <w:szCs w:val="20"/>
          <w:color w:val="auto"/>
        </w:rPr>
      </w:pPr>
    </w:p>
    <w:p>
      <w:pPr>
        <w:ind w:left="20" w:right="20" w:firstLine="281"/>
        <w:spacing w:after="0" w:line="244" w:lineRule="auto"/>
        <w:rPr>
          <w:sz w:val="20"/>
          <w:szCs w:val="20"/>
          <w:color w:val="auto"/>
        </w:rPr>
      </w:pPr>
      <w:r>
        <w:rPr>
          <w:rFonts w:ascii="Times New Roman" w:cs="Times New Roman" w:eastAsia="Times New Roman" w:hAnsi="Times New Roman"/>
          <w:sz w:val="20"/>
          <w:szCs w:val="20"/>
          <w:color w:val="auto"/>
        </w:rPr>
        <w:t>The Federal Reserve ended their quantitative tightening program, which reduced their balance sheet via the maturation of their holdings, and began reinvesting them into additional U.S. Treasury holdings on December 1, 2025. Run-off from the Agency residential mortgage-backed securities ("RMBS") holdings is now directed towards purchasing U.S. Treasury bills. The Fed also announced their intention, via Reserve Management Purchases (“RMPs”), to grow their balance sheet over time to maintain a stable relationship between the size of their balance sheet and the economy. These steps will result in increased purchases of U.S. Treasury securities by the Fed going forward, and interest rate swap spreads have widened – or become less negative – as a result. The widening of swap spreads, particularly longer-dated spreads, caused the swap curve to steepen more than the cash U.S. Treasury curve. Longer-dated swap spreads had become progressively more negative over the previous years, reflecting the market’s concern with increasing government issuance of U.S. Treasury securities. The increased purchases by the Fed offset some of the impact of the deficit-induced growth in issuance anticipated in the future.</w:t>
      </w:r>
    </w:p>
    <w:p>
      <w:pPr>
        <w:spacing w:after="0" w:line="192" w:lineRule="exact"/>
        <w:rPr>
          <w:sz w:val="20"/>
          <w:szCs w:val="20"/>
          <w:color w:val="auto"/>
        </w:rPr>
      </w:pPr>
    </w:p>
    <w:p>
      <w:pPr>
        <w:ind w:left="20" w:right="440" w:firstLine="281"/>
        <w:spacing w:after="0" w:line="277" w:lineRule="auto"/>
        <w:rPr>
          <w:sz w:val="20"/>
          <w:szCs w:val="20"/>
          <w:color w:val="auto"/>
        </w:rPr>
      </w:pPr>
      <w:r>
        <w:rPr>
          <w:rFonts w:ascii="Times New Roman" w:cs="Times New Roman" w:eastAsia="Times New Roman" w:hAnsi="Times New Roman"/>
          <w:sz w:val="20"/>
          <w:szCs w:val="20"/>
          <w:color w:val="auto"/>
        </w:rPr>
        <w:t>As realized interest rate volatility was very low during the quarter, implied rate volatility in the swaptions market continued to decline and has reached multi-year lows in early 2026.</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i w:val="1"/>
          <w:iCs w:val="1"/>
          <w:color w:val="auto"/>
        </w:rPr>
        <w:t>The Agency MBS Market</w:t>
      </w:r>
    </w:p>
    <w:p>
      <w:pPr>
        <w:spacing w:after="0" w:line="230" w:lineRule="exact"/>
        <w:rPr>
          <w:sz w:val="20"/>
          <w:szCs w:val="20"/>
          <w:color w:val="auto"/>
        </w:rPr>
      </w:pPr>
    </w:p>
    <w:p>
      <w:pPr>
        <w:ind w:left="20" w:right="100" w:firstLine="281"/>
        <w:spacing w:after="0" w:line="244" w:lineRule="auto"/>
        <w:rPr>
          <w:sz w:val="20"/>
          <w:szCs w:val="20"/>
          <w:color w:val="auto"/>
        </w:rPr>
      </w:pPr>
      <w:r>
        <w:rPr>
          <w:rFonts w:ascii="Times New Roman" w:cs="Times New Roman" w:eastAsia="Times New Roman" w:hAnsi="Times New Roman"/>
          <w:sz w:val="20"/>
          <w:szCs w:val="20"/>
          <w:color w:val="auto"/>
        </w:rPr>
        <w:t>As a proxy for the performance of the Agency RMBS market during 2025, the spread of the 30-year, fixed rate current coupon to the 10-year U.S. Treasury Note peaked at approximately 142 basis points in April 2025, not long after the market turmoil surrounding the various tariff measures introduced by the Trump administration on April 2, 2025. Since then, the spread has steadily declined, closely mirroring the performance of implied interest rate volatility, an important driver of Agency RMBS performance. The current coupon spread to the 10-year U.S. Treasury was at approximately 105 basis points at the beginning of the fourth quarter of 2025, and approximately 88 basis points at the end of the fourth quarter. In January 2026, President Trump announced plans for the Enterprises to purchase up to $200 billion of Agency RMBS in 2026 in an effort to drive mortgage rates down and improve housing affordability. The market reacted strongly to the news, and the current coupon spread tightened to approximately 74 basis points, the tightest level since early 2022 when the Fed was still buying Agency RMBS under its quantitative easing program. Since the announcement, spreads have widened slightly but are still lower than the level at the end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840"/>
          </w:cols>
          <w:pgMar w:left="680" w:top="785" w:right="720" w:bottom="135" w:gutter="0" w:footer="0" w:header="0"/>
        </w:sectPr>
      </w:pPr>
    </w:p>
    <w:bookmarkStart w:id="48" w:name="page49"/>
    <w:bookmarkEnd w:id="48"/>
    <w:p>
      <w:pPr>
        <w:ind w:right="100" w:firstLine="281"/>
        <w:spacing w:after="0" w:line="244" w:lineRule="auto"/>
        <w:rPr>
          <w:sz w:val="20"/>
          <w:szCs w:val="20"/>
          <w:color w:val="auto"/>
        </w:rPr>
      </w:pPr>
      <w:r>
        <w:rPr>
          <w:rFonts w:ascii="Times New Roman" w:cs="Times New Roman" w:eastAsia="Times New Roman" w:hAnsi="Times New Roman"/>
          <w:sz w:val="20"/>
          <w:szCs w:val="20"/>
          <w:color w:val="auto"/>
        </w:rPr>
        <w:t>Within Agency RMBS for the fourth quarter of 2025, conventional 30-year mortgages generated a total return of 1.7%, 15-year mortgages generated a total return of 1.5% and Ginnie Mae 30-year mortgages generated a total return of 1.5%. Versus comparable duration swaps, the returns were 1.4%, 0.8% and 1.1% for 30-year conventional, 15-year conventional and Ginnie Mae 30-year mortgages, respectively. The Company invests predominantly in 30-year conventional mortgages. Returns with the 30-year stack of coupons were very consistent across the various coupons: the 2.0% coupon generated a return of 1.3%, the 3.5% coupon generated a return of 2.2% and all other coupons were between 1.6% and 1.8%. Excess returns versus comparable duration swaps were in the range of -0.5% to 2.1%, with the 3.5% coupon again being the outlier to the upside. The highest coupons – 6.0% and higher – all generated excess returns below 1.0%. Excess returns for the balance of the coupons were between 1.1% and 1.7%, similar to absolute returns.</w:t>
      </w:r>
    </w:p>
    <w:p>
      <w:pPr>
        <w:spacing w:after="0" w:line="19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i w:val="1"/>
          <w:iCs w:val="1"/>
          <w:color w:val="auto"/>
        </w:rPr>
        <w:t>Recent Legislative and Regulatory Developments</w:t>
      </w:r>
    </w:p>
    <w:p>
      <w:pPr>
        <w:spacing w:after="0" w:line="230" w:lineRule="exact"/>
        <w:rPr>
          <w:sz w:val="20"/>
          <w:szCs w:val="20"/>
          <w:color w:val="auto"/>
        </w:rPr>
      </w:pPr>
    </w:p>
    <w:p>
      <w:pPr>
        <w:ind w:right="40" w:firstLine="281"/>
        <w:spacing w:after="0" w:line="242" w:lineRule="auto"/>
        <w:rPr>
          <w:sz w:val="20"/>
          <w:szCs w:val="20"/>
          <w:color w:val="auto"/>
        </w:rPr>
      </w:pPr>
      <w:r>
        <w:rPr>
          <w:rFonts w:ascii="Times New Roman" w:cs="Times New Roman" w:eastAsia="Times New Roman" w:hAnsi="Times New Roman"/>
          <w:sz w:val="20"/>
          <w:szCs w:val="20"/>
          <w:color w:val="auto"/>
        </w:rPr>
        <w:t>In response to the deterioration in the markets for U.S. Treasuries, Agency MBS and other mortgage and fixed income markets resulting from the impacts of the COVID-19 pandemic, the Fed implemented a program of quantitative easing. Through November of 2021, the Fed was committed to purchasing $80 billion of U.S. Treasuries and $40 billion of Agency MBS each month. In November of 2021, it began tapering its net asset purchases each month, ended net asset purchases by early March of 2022, and ended asset purchases entirely in September of 2022. On May 4, 2022, the FOMC announced a plan for reducing the Fed’s balance sheet. In June of 2022, in accordance with this plan, the Fed began reducing its balance sheet by a maximum of $30 billion of U.S. Treasuries and $17.5 billion of Agency MBS each month. On September 21, 2022, the FOMC announced the Fed’s decision to continue reducing its balance sheet by a maximum of $60 billion of U.S. Treasuries and $35 billion of Agency MBS per month. On May 1, 2024, the FOMC announced the Fed’s decision to reduce its balance sheet by a maximum of $25 billion of U.S. Treasury securities and remove the cap on Agency MBS reduction, with any amounts in excess of $35 billion per month being reinvested in U.S. Treasury securities. On March 19, 2025, the FOMC announced the Fed's decision to reduce its balance sheet by a maximum of $5 billion of U.S. Treasury securities beginning April 1, 2025. Relatively high interest rates and slow prepayment speeds have kept the balance sheet reduction for Agency MBS below $20 billion per month throughout 2024 and 2025. As of December 31, 2025, the Fed had reduced its balance sheet for Agency MBS by approximately $741 billion from the peak to $2.0 trillion, shedding approximately 54% of the Agency MBS added during pandemic quantitative easing and representing the lowest level since December 2020. On December 1, 2025, the Fed ended quantitative tightening and began reinvesting all proceeds from maturing Agency MBS up to a $35 billion per month cap in U.S. Treasuries and announced that it would begin buying an additional $40 billion per month of U.S. Treasuries via RMPs in order to maintain an ample level of reserves on an ongoing basis.</w:t>
      </w:r>
    </w:p>
    <w:p>
      <w:pPr>
        <w:spacing w:after="0" w:line="196" w:lineRule="exact"/>
        <w:rPr>
          <w:sz w:val="20"/>
          <w:szCs w:val="20"/>
          <w:color w:val="auto"/>
        </w:rPr>
      </w:pPr>
    </w:p>
    <w:p>
      <w:pPr>
        <w:ind w:firstLine="281"/>
        <w:spacing w:after="0" w:line="241" w:lineRule="auto"/>
        <w:rPr>
          <w:sz w:val="20"/>
          <w:szCs w:val="20"/>
          <w:color w:val="auto"/>
        </w:rPr>
      </w:pPr>
      <w:r>
        <w:rPr>
          <w:rFonts w:ascii="Times New Roman" w:cs="Times New Roman" w:eastAsia="Times New Roman" w:hAnsi="Times New Roman"/>
          <w:sz w:val="20"/>
          <w:szCs w:val="20"/>
          <w:color w:val="auto"/>
        </w:rPr>
        <w:t>On September 14, 2021, the U.S. Treasury and the FHFA suspended certain policy provisions in the Enterprise capital framework established in December 2020, including limits on loans acquired for cash consideration, multifamily loans, loans with higher risk characteristics and second homes and investment properties (the "September 2021 Provisions"). Effective April 26, 2022, the FHFA further amended this framework by, among other things, replacing the fixed leverage buffer equal to 1.5% of an Enterprise’s adjusted total assets with a dynamic leverage buffer equal to 50% of an Enterprise’s stability capital buffer, reducing the risk weight floor from 10% to 5%, and removing the requirement that the Enterprises must apply an overall effectiveness adjustment to their credit risk transfer exposures. On June 14, 2022, the Enterprises announced that they would each charge a 50 bps fee for commingled securities issued on or after July 1, 2022 to cover the additional capital required for such securities under the Enterprise capital framework, which was subsequently reduced on January 19, 2023 to 9.375 bps for commingled securities issued on or after April 1, 2023 to address industry concern that the fee posed a risk to the fungibility of the Uniform Mortgage-Backed Security and negatively impacted liquidity and pricing in the market for TBA securities. On November 30, 2023, the FHFA published a final rule, which became effective April 1, 2024, which reduced the risk weight and credit conversion factor for guarantees on commingled securities to 5% and 50%, respectively; replaced the current exposure methodology with the standardized approach for counterparty credit risk as the method for computing exposure and risk-weighted asset amounts for derivatives and cleared transactions; updated the credit score assumption to 680 for single-family mortgage exposures originated without a representative credit score; and introduced a risk weight of 20% for guarantee assets. On January 2, 2025, the U.S. Treasury and FHFA entered into a letter agreement deleting the September 2021 Provisions entirely, as well as providing additional guidance on the process for a potential end to the conservatorship of the Enterprises. Throughout 2025, there was some speculation in the market regarding progress towards an end to the conservatorship, including through an initial public offering, but a directive by the Trump administration in January 2026 that the Enterprises purchase up to $200 billion of Agency MBS from their accumulated cash reserves will increase the Enterprises’ balance sheets and exposure to mortgage risk and could make a near-term end to the conservatorship unlikely. The announcement of the directive, designed to increase liquidity and compress the spread between mortgage interest rates and the 10-year U.S. Treasury, had the intended effect immediately and significantly increased mortgage application volumes. The longer-term implications of this directive remain to be seen, with some analysts fearing a demand surge in home prices negating any affordability gains, systemic instability due to increased exposure to mortgage risk by the Enterprises, and volatility in the 10-year U.S. Treasury and mortgage interest spreads if the Fed decides to tighten monetary policy while the Trump administration is loosening it through the Enterprises. Further, the Enterprises are quickly approaching their regulatory asset caps, and it is unclear whether the FHFA will raise these caps to signal a long-term commitment to this directive or whether this is a limited intervention.</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800"/>
          </w:cols>
          <w:pgMar w:left="700" w:top="785" w:right="740" w:bottom="135" w:gutter="0" w:footer="0" w:header="0"/>
        </w:sectPr>
      </w:pPr>
    </w:p>
    <w:bookmarkStart w:id="49" w:name="page50"/>
    <w:bookmarkEnd w:id="49"/>
    <w:p>
      <w:pPr>
        <w:ind w:right="40" w:firstLine="281"/>
        <w:spacing w:after="0" w:line="243" w:lineRule="auto"/>
        <w:rPr>
          <w:sz w:val="20"/>
          <w:szCs w:val="20"/>
          <w:color w:val="auto"/>
        </w:rPr>
      </w:pPr>
      <w:r>
        <w:rPr>
          <w:rFonts w:ascii="Times New Roman" w:cs="Times New Roman" w:eastAsia="Times New Roman" w:hAnsi="Times New Roman"/>
          <w:sz w:val="20"/>
          <w:szCs w:val="20"/>
          <w:color w:val="auto"/>
        </w:rPr>
        <w:t>On July 27, 2023, the federal banking regulators, including the Office of the Comptroller of the Currency, (the "OCC") the Federal Deposit Insurance Corporation (the "FDIC") and the Fed, jointly issued a proposed rule that would revise large bank capital requirements (the "Basel III Endgame"). The Basel III Endgame, if implemented as originally proposed, would significantly increase the credit weight risk for balance-sheet mortgages and for Agency MBS sold to the GSEs, which could disincentivize banks from originating mortgages for sale to the GSEs and impact pricing in the Agency MBS markets. The comment period for the Basel III Endgame closed on January 16, 2024, and the proposed rule was met with strong objections from the banking industry. While implementation of the Basel III Endgame has since stalled, Fed Vice Chair for Supervision Michelle Bowman commented in August 2025 that a revised Basel III Endgame is expected to be issued for public comment in early 2026, which the market expects to be more capital-neutral than the original proposal. On November 25, 2025, the Fed, OCC and FDIC jointly adopted a final rule to revise the enhanced supplementary leverage ratio for globally systemically important bank holding companies (“GSIBs”). The rule, which becomes effective April 1, 2026 and may be adopted by banks subject to the rule as early as January 1, 2026, seeks to promote effective GSIB capital management and remove disincentives for banks to engage in low-risk activities, particularly in the U.S. Treasury market. This shift is expected to free up significant capital, allowing GSIBs greater discretion in asset allocation and potentially fostering increased lending and economic activity.</w:t>
      </w:r>
    </w:p>
    <w:p>
      <w:pPr>
        <w:spacing w:after="0" w:line="191" w:lineRule="exact"/>
        <w:rPr>
          <w:sz w:val="20"/>
          <w:szCs w:val="20"/>
          <w:color w:val="auto"/>
        </w:rPr>
      </w:pPr>
    </w:p>
    <w:p>
      <w:pPr>
        <w:ind w:right="340" w:firstLine="281"/>
        <w:spacing w:after="0" w:line="278" w:lineRule="auto"/>
        <w:rPr>
          <w:sz w:val="20"/>
          <w:szCs w:val="20"/>
          <w:color w:val="auto"/>
        </w:rPr>
      </w:pPr>
      <w:r>
        <w:rPr>
          <w:rFonts w:ascii="Times New Roman" w:cs="Times New Roman" w:eastAsia="Times New Roman" w:hAnsi="Times New Roman"/>
          <w:sz w:val="20"/>
          <w:szCs w:val="20"/>
          <w:color w:val="auto"/>
        </w:rPr>
        <w:t>The scope and nature of the actions the U.S. government or the Fed will ultimately undertake are unknown and will continue to evolve.</w:t>
      </w:r>
    </w:p>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i w:val="1"/>
          <w:iCs w:val="1"/>
          <w:color w:val="auto"/>
        </w:rPr>
        <w:t>Effect on Us</w:t>
      </w:r>
    </w:p>
    <w:p>
      <w:pPr>
        <w:spacing w:after="0" w:line="23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Regulatory developments, movements in interest rates and prepayment rates affect us in many ways, including the following:</w:t>
      </w:r>
    </w:p>
    <w:p>
      <w:pPr>
        <w:spacing w:after="0" w:line="23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i w:val="1"/>
          <w:iCs w:val="1"/>
          <w:color w:val="auto"/>
        </w:rPr>
        <w:t>Effects on our Assets</w:t>
      </w:r>
    </w:p>
    <w:p>
      <w:pPr>
        <w:spacing w:after="0" w:line="228" w:lineRule="exact"/>
        <w:rPr>
          <w:sz w:val="20"/>
          <w:szCs w:val="20"/>
          <w:color w:val="auto"/>
        </w:rPr>
      </w:pPr>
    </w:p>
    <w:p>
      <w:pPr>
        <w:ind w:right="60" w:firstLine="281"/>
        <w:spacing w:after="0" w:line="252" w:lineRule="auto"/>
        <w:rPr>
          <w:sz w:val="20"/>
          <w:szCs w:val="20"/>
          <w:color w:val="auto"/>
        </w:rPr>
      </w:pPr>
      <w:r>
        <w:rPr>
          <w:rFonts w:ascii="Times New Roman" w:cs="Times New Roman" w:eastAsia="Times New Roman" w:hAnsi="Times New Roman"/>
          <w:sz w:val="20"/>
          <w:szCs w:val="20"/>
          <w:color w:val="auto"/>
        </w:rPr>
        <w:t>A change in or elimination of the guarantee structure of Agency RMBS may increase our costs (if, for example, guarantee fees increase) or require us to change our investment strategy altogether. For example, the elimination of the guarantee structure of Agency RMBS may cause us to change our investment strategy to focus on non-Agency RMBS, which in turn would require us to significantly increase our monitoring of the credit risks of our investments in addition to interest rate and prepayment risks.</w:t>
      </w:r>
    </w:p>
    <w:p>
      <w:pPr>
        <w:spacing w:after="0" w:line="184" w:lineRule="exact"/>
        <w:rPr>
          <w:sz w:val="20"/>
          <w:szCs w:val="20"/>
          <w:color w:val="auto"/>
        </w:rPr>
      </w:pPr>
    </w:p>
    <w:p>
      <w:pPr>
        <w:ind w:firstLine="281"/>
        <w:spacing w:after="0" w:line="249" w:lineRule="auto"/>
        <w:rPr>
          <w:sz w:val="20"/>
          <w:szCs w:val="20"/>
          <w:color w:val="auto"/>
        </w:rPr>
      </w:pPr>
      <w:r>
        <w:rPr>
          <w:rFonts w:ascii="Times New Roman" w:cs="Times New Roman" w:eastAsia="Times New Roman" w:hAnsi="Times New Roman"/>
          <w:sz w:val="20"/>
          <w:szCs w:val="20"/>
          <w:color w:val="auto"/>
        </w:rPr>
        <w:t>If prepayment rates are relatively low (due, in part, to the refinancing problems described above), lower long-term interest rates can increase the value of our Agency RMBS. This is because investors typically place a premium on assets with coupon/yields that are higher than coupon/yields available in the market. To the extent such securities pre-pay slower than would otherwise be the case, we benefit from an above market coupon/yield for longer, enhancing the return from the security. Although lower long-term interest rates may increase asset values in our portfolio, we may not be able to invest new funds in similarly yielding assets.</w:t>
      </w:r>
    </w:p>
    <w:p>
      <w:pPr>
        <w:spacing w:after="0" w:line="187" w:lineRule="exact"/>
        <w:rPr>
          <w:sz w:val="20"/>
          <w:szCs w:val="20"/>
          <w:color w:val="auto"/>
        </w:rPr>
      </w:pPr>
    </w:p>
    <w:p>
      <w:pPr>
        <w:ind w:right="20" w:firstLine="281"/>
        <w:spacing w:after="0" w:line="242" w:lineRule="auto"/>
        <w:rPr>
          <w:sz w:val="20"/>
          <w:szCs w:val="20"/>
          <w:color w:val="auto"/>
        </w:rPr>
      </w:pPr>
      <w:r>
        <w:rPr>
          <w:rFonts w:ascii="Times New Roman" w:cs="Times New Roman" w:eastAsia="Times New Roman" w:hAnsi="Times New Roman"/>
          <w:sz w:val="20"/>
          <w:szCs w:val="20"/>
          <w:color w:val="auto"/>
        </w:rPr>
        <w:t>If prepayment levels increase, the value of any of our Agency RMBS that are carried at a premium to par that are affected by such prepayments may decline. This is because a principal prepayment accelerates the effective term of an Agency RMBS, which would shorten the period during which an investor would receive above-market returns (assuming the yield on the prepaid asset is higher than market yields). Also, prepayment proceeds may not be able to be reinvested in similar-yielding assets. Agency RMBS backed by mortgages with high interest rates are more susceptible to prepayment risk because holders of those mortgages are most likely to refinance to a lower rate. If prepayment levels decrease, the value of any of our Agency RMBS that are carried at a discount to par that are affected by such prepayments may increase. This is because a principal prepayment accelerates the effective term of an Agency RMBS, which would shorten the timeframe over which an investor would receive the principal of the underlying loans. Agency RMBS backed by mortgages with low interest rates are less susceptible to prepayment risk because holders of those mortgages are less likely to refinance to a higher rate. IOs and IIOs, however, may be the types of Agency RMBS most sensitive to increased prepayment rates. Because the holder of an IO or IIO receives no principal payments, the values of IOs and IIOs are entirely dependent on the existence of a principal balance on the underlying mortgages. If the principal balance is eliminated due to prepayment, IOs and IIOs essentially become worthless. Although increased prepayment rates can negatively affect the value of our IOs and IIOs, they have the opposite effect on POs. Because POs act like zero-coupon bonds, meaning they are purchased at a discount to their par value and have an effective interest rate based on the discount and the term of the underlying loan, an increase in prepayment rates would reduce the effective term of our POs and accelerate the yields earned on those assets, which would increase our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820"/>
          </w:cols>
          <w:pgMar w:left="700" w:top="785" w:right="720" w:bottom="135" w:gutter="0" w:footer="0" w:header="0"/>
        </w:sectPr>
      </w:pPr>
    </w:p>
    <w:bookmarkStart w:id="50" w:name="page51"/>
    <w:bookmarkEnd w:id="50"/>
    <w:p>
      <w:pPr>
        <w:ind w:firstLine="281"/>
        <w:spacing w:after="0" w:line="244" w:lineRule="auto"/>
        <w:rPr>
          <w:sz w:val="20"/>
          <w:szCs w:val="20"/>
          <w:color w:val="auto"/>
        </w:rPr>
      </w:pPr>
      <w:r>
        <w:rPr>
          <w:rFonts w:ascii="Times New Roman" w:cs="Times New Roman" w:eastAsia="Times New Roman" w:hAnsi="Times New Roman"/>
          <w:sz w:val="20"/>
          <w:szCs w:val="20"/>
          <w:color w:val="auto"/>
        </w:rPr>
        <w:t>Higher long- term rates can also affect the value of our Agency RMBS. As long-term rates rise, rates available to borrowers also rise. This tends to cause prepayment activity to slow and extend the expected average life of mortgage cash flows. As the expected average life of the mortgage cash flows increases, coupled with higher discount rates, the value of Agency RMBS declines. Some of the instruments we use to hedge our Agency RMBS assets, such as interest rate futures, swaps and swaptions, are stable average life instruments. This means that to the extent we use such instruments to hedge our Agency RMBS assets, our hedges may not adequately protect us from price declines and therefore may negatively impact our book value. It is for this reason we use interest only securities in our portfolio. As interest rates rise, the expected average life of these securities increases, causing generally positive price movements as the number and size of the cash flows increase the longer the underlying mortgages remain outstanding. This makes interest only securities desirable hedge instruments for PT Agency RMBS.</w:t>
      </w:r>
    </w:p>
    <w:p>
      <w:pPr>
        <w:spacing w:after="0" w:line="197" w:lineRule="exact"/>
        <w:rPr>
          <w:sz w:val="20"/>
          <w:szCs w:val="20"/>
          <w:color w:val="auto"/>
        </w:rPr>
      </w:pPr>
    </w:p>
    <w:p>
      <w:pPr>
        <w:ind w:right="160" w:firstLine="281"/>
        <w:spacing w:after="0" w:line="249" w:lineRule="auto"/>
        <w:rPr>
          <w:sz w:val="20"/>
          <w:szCs w:val="20"/>
          <w:color w:val="auto"/>
        </w:rPr>
      </w:pPr>
      <w:r>
        <w:rPr>
          <w:rFonts w:ascii="Times New Roman" w:cs="Times New Roman" w:eastAsia="Times New Roman" w:hAnsi="Times New Roman"/>
          <w:sz w:val="20"/>
          <w:szCs w:val="20"/>
          <w:color w:val="auto"/>
        </w:rPr>
        <w:t>Because we base our investment decisions on risk management principles rather than anticipated movements in interest rates, in a volatile interest rate environment we may allocate more capital to structured Agency RMBS with shorter durations. We believe these securities have a lower sensitivity to changes in long-term interest rates than other asset classes. We may attempt to mitigate our exposure to changes in long-term interest rates by investing in IOs and IIOs, which typically have different sensitivities to changes in long-term interest rates than PT RMBS, particularly PT RMBS backed by fixed-rate mortgages.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Effects on our borrowing costs</w:t>
      </w:r>
    </w:p>
    <w:p>
      <w:pPr>
        <w:spacing w:after="0" w:line="228" w:lineRule="exact"/>
        <w:rPr>
          <w:sz w:val="20"/>
          <w:szCs w:val="20"/>
          <w:color w:val="auto"/>
        </w:rPr>
      </w:pPr>
    </w:p>
    <w:p>
      <w:pPr>
        <w:ind w:right="100" w:firstLine="281"/>
        <w:spacing w:after="0" w:line="247" w:lineRule="auto"/>
        <w:rPr>
          <w:sz w:val="20"/>
          <w:szCs w:val="20"/>
          <w:color w:val="auto"/>
        </w:rPr>
      </w:pPr>
      <w:r>
        <w:rPr>
          <w:rFonts w:ascii="Times New Roman" w:cs="Times New Roman" w:eastAsia="Times New Roman" w:hAnsi="Times New Roman"/>
          <w:sz w:val="20"/>
          <w:szCs w:val="20"/>
          <w:color w:val="auto"/>
        </w:rPr>
        <w:t>We leverage our PT RMBS portfolio and a portion of our structured Agency RMBS with principal balances through the use of short-term repurchase agreement transactions. The interest rates on our debt are determined by the short-term interest rate markets. Increases in the Fed Funds rate or SOFR typically increase our borrowing costs, which could affect our interest rate spread if there is no corresponding increase in the interest we earn on our assets. The impact of these increases would be most prevalent with respect to our Agency RMBS backed by fixed rate mortgage loans because the interest rate on a fixed-rate mortgage loan does not change even though market rates may change.</w:t>
      </w:r>
    </w:p>
    <w:p>
      <w:pPr>
        <w:spacing w:after="0" w:line="191" w:lineRule="exact"/>
        <w:rPr>
          <w:sz w:val="20"/>
          <w:szCs w:val="20"/>
          <w:color w:val="auto"/>
        </w:rPr>
      </w:pPr>
    </w:p>
    <w:p>
      <w:pPr>
        <w:ind w:right="20" w:firstLine="281"/>
        <w:spacing w:after="0" w:line="258" w:lineRule="auto"/>
        <w:rPr>
          <w:sz w:val="20"/>
          <w:szCs w:val="20"/>
          <w:color w:val="auto"/>
        </w:rPr>
      </w:pPr>
      <w:r>
        <w:rPr>
          <w:rFonts w:ascii="Times New Roman" w:cs="Times New Roman" w:eastAsia="Times New Roman" w:hAnsi="Times New Roman"/>
          <w:sz w:val="20"/>
          <w:szCs w:val="20"/>
          <w:color w:val="auto"/>
        </w:rPr>
        <w:t>In order to protect our net interest margin against increases in short-term interest rates, we may enter into interest rate swaps, which economically convert our floating-rate repurchase agreement debt to fixed-rate debt or utilize other hedging instruments such as Fed Funds, SOFR, ERIS SOFR Swap, and T-Note futures contracts, dual digital options or interest rate swaptions.</w:t>
      </w:r>
    </w:p>
    <w:p>
      <w:pPr>
        <w:spacing w:after="0" w:line="18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i w:val="1"/>
          <w:iCs w:val="1"/>
          <w:color w:val="auto"/>
        </w:rPr>
        <w:t>Summary</w:t>
      </w:r>
    </w:p>
    <w:p>
      <w:pPr>
        <w:spacing w:after="0" w:line="228" w:lineRule="exact"/>
        <w:rPr>
          <w:sz w:val="20"/>
          <w:szCs w:val="20"/>
          <w:color w:val="auto"/>
        </w:rPr>
      </w:pPr>
    </w:p>
    <w:p>
      <w:pPr>
        <w:ind w:right="20" w:firstLine="281"/>
        <w:spacing w:after="0" w:line="243" w:lineRule="auto"/>
        <w:rPr>
          <w:sz w:val="20"/>
          <w:szCs w:val="20"/>
          <w:color w:val="auto"/>
        </w:rPr>
      </w:pPr>
      <w:r>
        <w:rPr>
          <w:rFonts w:ascii="Times New Roman" w:cs="Times New Roman" w:eastAsia="Times New Roman" w:hAnsi="Times New Roman"/>
          <w:sz w:val="20"/>
          <w:szCs w:val="20"/>
          <w:color w:val="auto"/>
        </w:rPr>
        <w:t>The fixed income markets have experienced a period of calm as 2025 came to close and we enter 2026. Interest rates have remained in a very tight range, implied interest rate volatility has continued the steady decline that began in April of 2025, and Agency RMBS performed well during the fourth quarter of 2025. Other sectors of the fixed income markets performed well during the fourth quarter as well, and spreads on investment grade corporate bonds reached levels not seen since 1998. Risk sentiment generally was quite strong during the quarter, and the S&amp;P 500 generated a return of 2.3%. The government shutdown that started on October 1, 2025, and lasted until mid-November created a near complete data vacuum for the markets during the quarter. Once the government reopened it was several weeks before data for the quarter was available. Exacerbating the data shortage was the perception the data was of poor-quality owing to frequent and substantial revisions after the initial release. The market had limited means to gauge the strength of the economy. The Fed did lower the Fed Funds rate twice in the fourth quarter – in both cases by 25 basis points – and stated they had reached the upper end of what they deemed the range of neutral. However, owing to the lack of the most critical data on the labor market and inflation - and the fact that the data that was available did not indicate much had changed with the economy since the shutdown began – the Fed seems likely to hold rates steady for now until incoming data dictates otherwise. This seems especially likely to be the case as President Trump announced Kevin Warsh will replace current Chairman Powell in May, and the Fed is not likely to take meaningful policy steps just before a chairmanship transition.</w:t>
      </w:r>
    </w:p>
    <w:p>
      <w:pPr>
        <w:spacing w:after="0" w:line="191" w:lineRule="exact"/>
        <w:rPr>
          <w:sz w:val="20"/>
          <w:szCs w:val="20"/>
          <w:color w:val="auto"/>
        </w:rPr>
      </w:pPr>
    </w:p>
    <w:p>
      <w:pPr>
        <w:ind w:right="60" w:firstLine="281"/>
        <w:spacing w:after="0" w:line="249" w:lineRule="auto"/>
        <w:rPr>
          <w:sz w:val="20"/>
          <w:szCs w:val="20"/>
          <w:color w:val="auto"/>
        </w:rPr>
      </w:pPr>
      <w:r>
        <w:rPr>
          <w:rFonts w:ascii="Times New Roman" w:cs="Times New Roman" w:eastAsia="Times New Roman" w:hAnsi="Times New Roman"/>
          <w:sz w:val="20"/>
          <w:szCs w:val="20"/>
          <w:color w:val="auto"/>
        </w:rPr>
        <w:t>The Agency RMBS market generated a total return of 1.7% for the quarter, consistent with the solid returns for all sectors of the fixed income markets. The return for the Agency RMBS market versus comparable durations swaps, a proxy for returns for levered bond investors such as the Company, was 1.3%. During the fourth quarter, excess returns were generally even across the various 30-year coupons – with the 3.5% coupon being an outlier to the upside at 2.2%. The highest coupons, 6.0% and higher, lagged the returns of the rest of the coupon stack on an excess return basis, all between 0.5% and 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820"/>
          </w:cols>
          <w:pgMar w:left="700" w:top="785" w:right="720" w:bottom="135" w:gutter="0" w:footer="0" w:header="0"/>
        </w:sectPr>
      </w:pPr>
    </w:p>
    <w:bookmarkStart w:id="51" w:name="page52"/>
    <w:bookmarkEnd w:id="51"/>
    <w:p>
      <w:pPr>
        <w:ind w:right="20" w:firstLine="281"/>
        <w:spacing w:after="0" w:line="247" w:lineRule="auto"/>
        <w:rPr>
          <w:sz w:val="20"/>
          <w:szCs w:val="20"/>
          <w:color w:val="auto"/>
        </w:rPr>
      </w:pPr>
      <w:r>
        <w:rPr>
          <w:rFonts w:ascii="Times New Roman" w:cs="Times New Roman" w:eastAsia="Times New Roman" w:hAnsi="Times New Roman"/>
          <w:sz w:val="20"/>
          <w:szCs w:val="20"/>
          <w:color w:val="auto"/>
        </w:rPr>
        <w:t>Looking forward, economic activity remains resilient and could strengthen as the stimulative components of the One Big Beautiful Bill Act, passed in mid-2025, start to impact the economy – lower tax withholding, capital expenditure expensing, less regulation, among other measures. The labor market still seems weak, although it is not deteriorating. Inflation remains sticky, still above the Fed’s target level of 2%, but there do not appear to be meaningful follow-through impacts from the tariffs introduced in</w:t>
      </w:r>
    </w:p>
    <w:p>
      <w:pPr>
        <w:spacing w:after="0" w:line="2" w:lineRule="exact"/>
        <w:rPr>
          <w:sz w:val="20"/>
          <w:szCs w:val="20"/>
          <w:color w:val="auto"/>
        </w:rPr>
      </w:pPr>
    </w:p>
    <w:p>
      <w:pPr>
        <w:ind w:right="300"/>
        <w:spacing w:after="0" w:line="243" w:lineRule="auto"/>
        <w:rPr>
          <w:sz w:val="20"/>
          <w:szCs w:val="20"/>
          <w:color w:val="auto"/>
        </w:rPr>
      </w:pPr>
      <w:r>
        <w:rPr>
          <w:rFonts w:ascii="Times New Roman" w:cs="Times New Roman" w:eastAsia="Times New Roman" w:hAnsi="Times New Roman"/>
          <w:sz w:val="20"/>
          <w:szCs w:val="20"/>
          <w:color w:val="auto"/>
        </w:rPr>
        <w:t>2025. Monetary policy may remain steady for the time being as well. If these conditions persist, interest rates are likely to remain stable, implied interest rate volatility subdued and risk assets, including Agency RMBS, will likely perform well. This outlook will change if interest rates move substantially in either direction, especially if the movement is towards higher rates, and interest rate implied volatility increases materially.</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34" w:lineRule="exact"/>
        <w:rPr>
          <w:sz w:val="20"/>
          <w:szCs w:val="20"/>
          <w:color w:val="auto"/>
        </w:rPr>
      </w:pPr>
    </w:p>
    <w:p>
      <w:pPr>
        <w:ind w:left="20" w:right="200" w:firstLine="360"/>
        <w:spacing w:after="0" w:line="252" w:lineRule="auto"/>
        <w:rPr>
          <w:sz w:val="20"/>
          <w:szCs w:val="20"/>
          <w:color w:val="auto"/>
        </w:rPr>
      </w:pPr>
      <w:r>
        <w:rPr>
          <w:rFonts w:ascii="Times New Roman" w:cs="Times New Roman" w:eastAsia="Times New Roman" w:hAnsi="Times New Roman"/>
          <w:sz w:val="20"/>
          <w:szCs w:val="20"/>
          <w:color w:val="auto"/>
        </w:rPr>
        <w:t>Our consolidated financial statements are prepared in accordance with GAAP, which requires our management to make some complex and subjective decisions, estimates and assessments. Our most critical accounting policies involve decisions, estimates and assessments which can have a material impact on reported assets, liabilities, revenues and expenses and these estimates can change each reporting period. Management has identified the following as its most critical accounting estimates: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Mortgage-Backed Securities</w:t>
      </w:r>
    </w:p>
    <w:p>
      <w:pPr>
        <w:spacing w:after="0" w:line="228" w:lineRule="exact"/>
        <w:rPr>
          <w:sz w:val="20"/>
          <w:szCs w:val="20"/>
          <w:color w:val="auto"/>
        </w:rPr>
      </w:pPr>
    </w:p>
    <w:p>
      <w:pPr>
        <w:ind w:left="20" w:right="300" w:firstLine="360"/>
        <w:spacing w:after="0" w:line="278" w:lineRule="auto"/>
        <w:rPr>
          <w:sz w:val="20"/>
          <w:szCs w:val="20"/>
          <w:color w:val="auto"/>
        </w:rPr>
      </w:pPr>
      <w:r>
        <w:rPr>
          <w:rFonts w:ascii="Times New Roman" w:cs="Times New Roman" w:eastAsia="Times New Roman" w:hAnsi="Times New Roman"/>
          <w:sz w:val="20"/>
          <w:szCs w:val="20"/>
          <w:color w:val="auto"/>
        </w:rPr>
        <w:t>Our investments in MBS are accounted for at fair value. We acquire our MBS for the purpose of generating long-term returns, and not for the short-term investment of idle capital.</w:t>
      </w:r>
    </w:p>
    <w:p>
      <w:pPr>
        <w:spacing w:after="0" w:line="157" w:lineRule="exact"/>
        <w:rPr>
          <w:sz w:val="20"/>
          <w:szCs w:val="20"/>
          <w:color w:val="auto"/>
        </w:rPr>
      </w:pPr>
    </w:p>
    <w:p>
      <w:pPr>
        <w:ind w:left="20" w:right="40" w:firstLine="360"/>
        <w:spacing w:after="0" w:line="247" w:lineRule="auto"/>
        <w:rPr>
          <w:sz w:val="20"/>
          <w:szCs w:val="20"/>
          <w:color w:val="auto"/>
        </w:rPr>
      </w:pPr>
      <w:r>
        <w:rPr>
          <w:rFonts w:ascii="Times New Roman" w:cs="Times New Roman" w:eastAsia="Times New Roman" w:hAnsi="Times New Roman"/>
          <w:sz w:val="20"/>
          <w:szCs w:val="20"/>
          <w:color w:val="auto"/>
        </w:rPr>
        <w:t>As discussed in Note 14 to our consolidated financial statements included in Item 8 of Part II of this Report, our MBS are valued using Level 2 valuations, and such valuations currently are determined based on independent pricing sources and/or third party broker quotes, when available. Because the price estimates may vary, management must make certain judgments and assumptions about the appropriate price to use to calculate the fair values. Alternatively, the Company could opt to have the value of all of our positions in MBS determined by either an independent third-party or do so internally. In managing our portfolio, the Company employs the following four-step process at each valuation date to determine the fair value of our MBS.</w:t>
      </w:r>
    </w:p>
    <w:p>
      <w:pPr>
        <w:spacing w:after="0" w:line="194" w:lineRule="exact"/>
        <w:rPr>
          <w:sz w:val="20"/>
          <w:szCs w:val="20"/>
          <w:color w:val="auto"/>
        </w:rPr>
      </w:pPr>
    </w:p>
    <w:p>
      <w:pPr>
        <w:ind w:left="740" w:hanging="350"/>
        <w:spacing w:after="0"/>
        <w:tabs>
          <w:tab w:leader="none" w:pos="7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First, the Company obtains fair values from subscription-based independent pricing services.</w:t>
      </w:r>
    </w:p>
    <w:p>
      <w:pPr>
        <w:spacing w:after="0" w:line="36" w:lineRule="exact"/>
        <w:rPr>
          <w:rFonts w:ascii="Times New Roman" w:cs="Times New Roman" w:eastAsia="Times New Roman" w:hAnsi="Times New Roman"/>
          <w:sz w:val="20"/>
          <w:szCs w:val="20"/>
          <w:color w:val="auto"/>
        </w:rPr>
      </w:pPr>
    </w:p>
    <w:p>
      <w:pPr>
        <w:ind w:left="740" w:right="80" w:hanging="350"/>
        <w:spacing w:after="0" w:line="243" w:lineRule="auto"/>
        <w:tabs>
          <w:tab w:leader="none" w:pos="7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Second, the Company requests non-binding quotes from one to four broker-dealers for certain MBS in order to validate the values obtained by the pricing service. The Company requests these quotes from broker-dealers that actively trade and make markets in the respective asset class for which the quote is requested.</w:t>
      </w:r>
    </w:p>
    <w:p>
      <w:pPr>
        <w:spacing w:after="0" w:line="1" w:lineRule="exact"/>
        <w:rPr>
          <w:rFonts w:ascii="Times New Roman" w:cs="Times New Roman" w:eastAsia="Times New Roman" w:hAnsi="Times New Roman"/>
          <w:sz w:val="20"/>
          <w:szCs w:val="20"/>
          <w:color w:val="auto"/>
        </w:rPr>
      </w:pPr>
    </w:p>
    <w:p>
      <w:pPr>
        <w:ind w:left="740" w:right="160" w:hanging="350"/>
        <w:spacing w:after="0" w:line="245" w:lineRule="auto"/>
        <w:tabs>
          <w:tab w:leader="none" w:pos="7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the Company reviews the values obtained by the pricing source and the broker-dealers for consistency across similar assets.</w:t>
      </w:r>
    </w:p>
    <w:p>
      <w:pPr>
        <w:ind w:left="740" w:right="20" w:hanging="350"/>
        <w:spacing w:after="0" w:line="241" w:lineRule="auto"/>
        <w:tabs>
          <w:tab w:leader="none" w:pos="7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Finally, if the data from the pricing services and broker-dealers is not homogenous or if the data obtained is inconsistent with management’s market observations, the Company makes a judgment to determine which price appears the most consistent with observed prices from similar assets and selects that price. To the extent management believes that none of the prices are consistent with observed prices for similar assets, which is typically the case for only an immaterial portion of our portfolio each quarter, the Company may use a third price that is consistent with observed prices for identical or similar assets. In the case of assets that have quoted prices such as Agency MBS backed by fixed-rate mortgages, the Company generally uses the quoted or observed market price. For assets such as Agency MBS backed by ARMs or structured Agency MBS, the Company may determine the price based on the yield or spread that is identical to an observed transaction or a similar asset for which a dealer mark or subscription-based price has been obtained.</w:t>
      </w:r>
    </w:p>
    <w:p>
      <w:pPr>
        <w:spacing w:after="0" w:line="199" w:lineRule="exact"/>
        <w:rPr>
          <w:sz w:val="20"/>
          <w:szCs w:val="20"/>
          <w:color w:val="auto"/>
        </w:rPr>
      </w:pPr>
    </w:p>
    <w:p>
      <w:pPr>
        <w:ind w:left="20" w:right="40" w:firstLine="360"/>
        <w:spacing w:after="0" w:line="278" w:lineRule="auto"/>
        <w:rPr>
          <w:sz w:val="20"/>
          <w:szCs w:val="20"/>
          <w:color w:val="auto"/>
        </w:rPr>
      </w:pPr>
      <w:r>
        <w:rPr>
          <w:rFonts w:ascii="Times New Roman" w:cs="Times New Roman" w:eastAsia="Times New Roman" w:hAnsi="Times New Roman"/>
          <w:sz w:val="20"/>
          <w:szCs w:val="20"/>
          <w:color w:val="auto"/>
        </w:rPr>
        <w:t>Management believes its pricing methodology to be consistent with the definition of fair value described in Financial Accounting Standards Board Accounting Standards Codification Topic 820, Fair Value Measurements.</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Income Recognition</w:t>
      </w:r>
    </w:p>
    <w:p>
      <w:pPr>
        <w:spacing w:after="0" w:line="229" w:lineRule="exact"/>
        <w:rPr>
          <w:sz w:val="20"/>
          <w:szCs w:val="20"/>
          <w:color w:val="auto"/>
        </w:rPr>
      </w:pPr>
    </w:p>
    <w:p>
      <w:pPr>
        <w:ind w:left="20" w:firstLine="360"/>
        <w:spacing w:after="0" w:line="258" w:lineRule="auto"/>
        <w:rPr>
          <w:sz w:val="20"/>
          <w:szCs w:val="20"/>
          <w:color w:val="auto"/>
        </w:rPr>
      </w:pPr>
      <w:r>
        <w:rPr>
          <w:rFonts w:ascii="Times New Roman" w:cs="Times New Roman" w:eastAsia="Times New Roman" w:hAnsi="Times New Roman"/>
          <w:sz w:val="19"/>
          <w:szCs w:val="19"/>
          <w:color w:val="auto"/>
        </w:rPr>
        <w:t>All of our MBS are either PT MBS or structured MBS, including CMOs, IOs, IIOs or POs. Income on PT MBS, POs and CMOs that contain principal balances is based on the stated interest rate of the security. As a result of accounting for our MBS under the fair value option, premium or discount present at the date of purchase is not amortized. For IOs, IIOs and CMOs that do not contain principal balances, income is accrued based on the carrying value and the effective yield. As cash is received it is first applied to accrued interest and then to reduce the carrying value of the security. At each reporting date, the effective yield is adjusted prospectively from the reporting period based on the new estimate of prepayments, current interest rates and current asset prices. The new effective yield is calculated based on the carrying value at the end of the previous reporting period, the new prepayment estimates and the contractual terms of the security. Changes in fair value of all of our MBS during the period are recorded in earnings and reported as unrealized gains or losses on mortgage-backed securities in the accompanying consolidated statements of operations. For IIO securities, effective yield and income recognition calculations also take into account the index value applicable to the security.</w:t>
      </w: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780"/>
          </w:cols>
          <w:pgMar w:left="700" w:top="785" w:right="760" w:bottom="135" w:gutter="0" w:footer="0" w:header="0"/>
        </w:sectPr>
      </w:pPr>
    </w:p>
    <w:bookmarkStart w:id="52" w:name="page53"/>
    <w:bookmarkEnd w:id="52"/>
    <w:p>
      <w:pPr>
        <w:ind w:left="360"/>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9"/>
          <w:szCs w:val="19"/>
          <w:color w:val="auto"/>
        </w:rPr>
        <w:t>Income taxes are provided for using the asset and liability method. Deferred tax assets and liabilities represent the differences between the financial statement and income tax bases of assets and liabilities using enacted tax rates. The measurement of net deferred tax assets is adjusted by a valuation allowance if, based on the Company’s evaluation, it is more likely than not that they will not be realized. A majority of the Company’s net deferred tax assets, which consist primarily of NOLs, are expected to be realized over an extended number of years. Management’s conclusion is supported by taxable income projections which include forecasts of management fees, Orchid dividends and net interest income, and the subsequent reinvestment of those amounts into the MBS portfolio. However, management reassesses its valuation allowance conclusions whenever there is a material change in taxable income projections.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35" w:lineRule="exact"/>
        <w:rPr>
          <w:sz w:val="20"/>
          <w:szCs w:val="20"/>
          <w:color w:val="auto"/>
        </w:rPr>
      </w:pPr>
    </w:p>
    <w:p>
      <w:pPr>
        <w:ind w:left="160" w:right="40" w:firstLine="180"/>
        <w:spacing w:after="0" w:line="277" w:lineRule="auto"/>
        <w:rPr>
          <w:sz w:val="20"/>
          <w:szCs w:val="20"/>
          <w:color w:val="auto"/>
        </w:rPr>
      </w:pPr>
      <w:r>
        <w:rPr>
          <w:rFonts w:ascii="Times New Roman" w:cs="Times New Roman" w:eastAsia="Times New Roman" w:hAnsi="Times New Roman"/>
          <w:sz w:val="20"/>
          <w:szCs w:val="20"/>
          <w:color w:val="auto"/>
        </w:rPr>
        <w:t>As a smaller reporting company as defined by Rule 12b-2 of the Exchange Act, we are not required to provide disclosure pursuant to this Item. However, we have elected to include much of the information in Item 7 above, beginning on page 38.</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800"/>
          </w:cols>
          <w:pgMar w:left="720" w:top="787" w:right="720" w:bottom="135"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75"/>
        </w:trPr>
        <w:tc>
          <w:tcPr>
            <w:tcW w:w="97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tc>
        <w:tc>
          <w:tcPr>
            <w:tcW w:w="62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461"/>
        </w:trPr>
        <w:tc>
          <w:tcPr>
            <w:tcW w:w="97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Index to Financial Statements</w:t>
            </w: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22"/>
        </w:trPr>
        <w:tc>
          <w:tcPr>
            <w:tcW w:w="97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462"/>
        </w:trPr>
        <w:tc>
          <w:tcPr>
            <w:tcW w:w="97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(BDO USA, P.C.: West Palm Beach, FL; PCAOB</w:t>
            </w:r>
          </w:p>
        </w:tc>
        <w:tc>
          <w:tcPr>
            <w:tcW w:w="6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r>
        <w:trPr>
          <w:trHeight w:val="240"/>
        </w:trPr>
        <w:tc>
          <w:tcPr>
            <w:tcW w:w="97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ID#243)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40"/>
        </w:trPr>
        <w:tc>
          <w:tcPr>
            <w:tcW w:w="97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Consolidated Balance Sheets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40"/>
        </w:trPr>
        <w:tc>
          <w:tcPr>
            <w:tcW w:w="97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Consolidated Statements of Operations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40"/>
        </w:trPr>
        <w:tc>
          <w:tcPr>
            <w:tcW w:w="97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Consolidated Statements of Equity</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40"/>
        </w:trPr>
        <w:tc>
          <w:tcPr>
            <w:tcW w:w="97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Consolidated Statements of Cash Flows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67"/>
        </w:trPr>
        <w:tc>
          <w:tcPr>
            <w:tcW w:w="97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800"/>
          </w:cols>
          <w:pgMar w:left="720" w:top="1333" w:right="720" w:bottom="135"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Stockholders and Board of Directors</w:t>
      </w:r>
    </w:p>
    <w:p>
      <w:pPr>
        <w:spacing w:after="0" w:line="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Bimini Capital Management, Inc.</w:t>
      </w:r>
    </w:p>
    <w:p>
      <w:pPr>
        <w:ind w:left="160"/>
        <w:spacing w:after="0"/>
        <w:rPr>
          <w:sz w:val="20"/>
          <w:szCs w:val="20"/>
          <w:color w:val="auto"/>
        </w:rPr>
      </w:pPr>
      <w:r>
        <w:rPr>
          <w:rFonts w:ascii="Times New Roman" w:cs="Times New Roman" w:eastAsia="Times New Roman" w:hAnsi="Times New Roman"/>
          <w:sz w:val="20"/>
          <w:szCs w:val="20"/>
          <w:color w:val="auto"/>
        </w:rPr>
        <w:t>Vero Beach, Florida</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Opinion on the Consolidated Financial Statements</w:t>
      </w:r>
    </w:p>
    <w:p>
      <w:pPr>
        <w:spacing w:after="0" w:line="234" w:lineRule="exact"/>
        <w:rPr>
          <w:sz w:val="20"/>
          <w:szCs w:val="20"/>
          <w:color w:val="auto"/>
        </w:rPr>
      </w:pPr>
    </w:p>
    <w:p>
      <w:pPr>
        <w:ind w:left="160"/>
        <w:spacing w:after="0" w:line="247"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Bimini Capital Management, Inc. (the “Company”) as of December 31, 2025 and 2024, the related consolidated statements of operations, stockholders’ equity, and cash flows for each of the two years in the period ended December 31, 2025, and the related notes (collectively referred to as the “consolidated financial statements”) . In our opinion, the consolidated financial statements present fairly, in all material respects, the financial position of the Company at December 31, 2025 and 2024, and the results of its operations and its cash flows for the years then ended</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in conformity with accounting principles generally accepted in the United States of America.</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35" w:lineRule="exact"/>
        <w:rPr>
          <w:sz w:val="20"/>
          <w:szCs w:val="20"/>
          <w:color w:val="auto"/>
        </w:rPr>
      </w:pPr>
    </w:p>
    <w:p>
      <w:pPr>
        <w:ind w:left="160"/>
        <w:spacing w:after="0" w:line="249"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60" w:right="120"/>
        <w:spacing w:after="0" w:line="247"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9" w:lineRule="exact"/>
        <w:rPr>
          <w:sz w:val="20"/>
          <w:szCs w:val="20"/>
          <w:color w:val="auto"/>
        </w:rPr>
      </w:pPr>
    </w:p>
    <w:p>
      <w:pPr>
        <w:ind w:left="160" w:right="80"/>
        <w:spacing w:after="0" w:line="249"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780"/>
          </w:cols>
          <w:pgMar w:left="720" w:top="1242" w:right="740" w:bottom="135"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0"/>
          <w:szCs w:val="20"/>
          <w:b w:val="1"/>
          <w:bCs w:val="1"/>
          <w:color w:val="auto"/>
        </w:rPr>
        <w:t>Critical Audit Matters</w:t>
      </w:r>
    </w:p>
    <w:p>
      <w:pPr>
        <w:spacing w:after="0" w:line="235"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The critical audit matters communicated below are matters arising from the current period audit of the consolidated financial statements that were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Realizability of Deferred Tax Assets</w:t>
      </w:r>
    </w:p>
    <w:p>
      <w:pPr>
        <w:spacing w:after="0" w:line="2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As described in Note 12 to the consolidated financial statements, the Company has recorded $ 59.8 million in gross deferred tax assets as of December 31, 2025, and a related valuation allowance of $42.2 million. In assessing the realizability of deferred tax assets, management considered both positive and negative evidence whether it was more likely than not that some portion or all of the deferred tax assets would not be realized.</w:t>
      </w:r>
    </w:p>
    <w:p>
      <w:pPr>
        <w:spacing w:after="0" w:line="185" w:lineRule="exact"/>
        <w:rPr>
          <w:sz w:val="20"/>
          <w:szCs w:val="20"/>
          <w:color w:val="auto"/>
        </w:rPr>
      </w:pPr>
    </w:p>
    <w:p>
      <w:pPr>
        <w:jc w:val="both"/>
        <w:ind w:firstLine="1"/>
        <w:spacing w:after="0" w:line="249" w:lineRule="auto"/>
        <w:rPr>
          <w:sz w:val="20"/>
          <w:szCs w:val="20"/>
          <w:color w:val="auto"/>
        </w:rPr>
      </w:pPr>
      <w:r>
        <w:rPr>
          <w:rFonts w:ascii="Times New Roman" w:cs="Times New Roman" w:eastAsia="Times New Roman" w:hAnsi="Times New Roman"/>
          <w:sz w:val="20"/>
          <w:szCs w:val="20"/>
          <w:color w:val="auto"/>
        </w:rPr>
        <w:t>We identified the Company’s evaluation of the realizability of deferred tax assets as a critical audit matter. Significant management judgment was required in evaluating and weighing the positive and negative evidence that was used to assess the realizability of deferred tax assets. This judgment included the Company’s assessment over their ability to generate sufficient future taxable income. Auditing this assessment involved subjective and complex auditor judgment due to the nature of audit evidence and extent of audit effort required to address these matters, including the use of income tax professionals.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primary procedures we performed to address this critical audit matter included:</w:t>
      </w:r>
    </w:p>
    <w:p>
      <w:pPr>
        <w:spacing w:after="0" w:line="233" w:lineRule="exact"/>
        <w:rPr>
          <w:sz w:val="20"/>
          <w:szCs w:val="20"/>
          <w:color w:val="auto"/>
        </w:rPr>
      </w:pPr>
    </w:p>
    <w:p>
      <w:pPr>
        <w:ind w:left="1280" w:right="40" w:hanging="350"/>
        <w:spacing w:after="0" w:line="258" w:lineRule="auto"/>
        <w:tabs>
          <w:tab w:leader="none" w:pos="12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Utilizing income tax professionals to assist in evaluating the positive and negative evidence in assessing whether the deferred tax assets are more-likely-than-not to be utilized, and whether the estimated future sources of taxable income were sufficient to utilize the deferred tax assets in the relevant period.</w:t>
      </w:r>
    </w:p>
    <w:p>
      <w:pPr>
        <w:spacing w:after="0" w:line="188" w:lineRule="exact"/>
        <w:rPr>
          <w:rFonts w:ascii="Times New Roman" w:cs="Times New Roman" w:eastAsia="Times New Roman" w:hAnsi="Times New Roman"/>
          <w:sz w:val="20"/>
          <w:szCs w:val="20"/>
          <w:color w:val="auto"/>
        </w:rPr>
      </w:pPr>
    </w:p>
    <w:p>
      <w:pPr>
        <w:ind w:left="1280" w:right="460" w:hanging="350"/>
        <w:spacing w:after="0" w:line="258" w:lineRule="auto"/>
        <w:tabs>
          <w:tab w:leader="none" w:pos="12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Assessing the reasonableness of the Company’s historical ability to meet the forecasts of future taxable income period over period by evaluating the completeness and accuracy of the source information used to derive the forecasts and by performing a retrospective review of the prior year’s estimate.</w:t>
      </w:r>
    </w:p>
    <w:p>
      <w:pPr>
        <w:spacing w:after="0" w:line="188" w:lineRule="exact"/>
        <w:rPr>
          <w:rFonts w:ascii="Times New Roman" w:cs="Times New Roman" w:eastAsia="Times New Roman" w:hAnsi="Times New Roman"/>
          <w:sz w:val="20"/>
          <w:szCs w:val="20"/>
          <w:color w:val="auto"/>
        </w:rPr>
      </w:pPr>
    </w:p>
    <w:p>
      <w:pPr>
        <w:ind w:left="1280" w:right="920" w:hanging="350"/>
        <w:spacing w:after="0" w:line="278" w:lineRule="auto"/>
        <w:tabs>
          <w:tab w:leader="none" w:pos="12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Testing the reasonableness of the Company’s estimate of future taxable income, including the underlying assumptions within those forecasts.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640"/>
          </w:cols>
          <w:pgMar w:left="880" w:top="781" w:right="720" w:bottom="135"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color w:val="auto"/>
        </w:rPr>
        <w:t>Valuation of Investments in Mortgage-Backed Securities</w:t>
      </w:r>
    </w:p>
    <w:p>
      <w:pPr>
        <w:spacing w:after="0" w:line="235" w:lineRule="exact"/>
        <w:rPr>
          <w:sz w:val="20"/>
          <w:szCs w:val="20"/>
          <w:color w:val="auto"/>
        </w:rPr>
      </w:pPr>
    </w:p>
    <w:p>
      <w:pPr>
        <w:ind w:right="20"/>
        <w:spacing w:after="0" w:line="239" w:lineRule="auto"/>
        <w:rPr>
          <w:sz w:val="20"/>
          <w:szCs w:val="20"/>
          <w:color w:val="auto"/>
        </w:rPr>
      </w:pPr>
      <w:r>
        <w:rPr>
          <w:rFonts w:ascii="PMingLiU" w:cs="PMingLiU" w:eastAsia="PMingLiU" w:hAnsi="PMingLiU"/>
          <w:sz w:val="20"/>
          <w:szCs w:val="20"/>
          <w:color w:val="auto"/>
        </w:rPr>
        <w:t>As described in Note 14 to the consolidated financial statements, the Company accounts for its mortgage-backed securities at fair value, which totaled $88.9 million at December 31, 2025. The fair value of mortgage-backed securities is based on independent pricing sources and/or third-party broker quotes. Because the price estimates may vary, the Company must make certain judgments and assumptions about the appropriate price to use to calculate the fair values based on various techniques.</w:t>
      </w:r>
    </w:p>
    <w:p>
      <w:pPr>
        <w:spacing w:after="0" w:line="195" w:lineRule="exact"/>
        <w:rPr>
          <w:sz w:val="20"/>
          <w:szCs w:val="20"/>
          <w:color w:val="auto"/>
        </w:rPr>
      </w:pPr>
    </w:p>
    <w:p>
      <w:pPr>
        <w:ind w:right="100"/>
        <w:spacing w:after="0" w:line="243" w:lineRule="auto"/>
        <w:rPr>
          <w:sz w:val="20"/>
          <w:szCs w:val="20"/>
          <w:color w:val="auto"/>
        </w:rPr>
      </w:pPr>
      <w:r>
        <w:rPr>
          <w:rFonts w:ascii="PMingLiU" w:cs="PMingLiU" w:eastAsia="PMingLiU" w:hAnsi="PMingLiU"/>
          <w:sz w:val="20"/>
          <w:szCs w:val="20"/>
          <w:color w:val="auto"/>
        </w:rPr>
        <w:t>We identified the valuation of mortgage-backed securities as a critical audit matter. The principal consideration for our determination was the especially challenging nature of the audit effort involved, which included the use of valuation professionals with specialized skill and knowledge.</w:t>
      </w:r>
    </w:p>
    <w:p>
      <w:pPr>
        <w:spacing w:after="0" w:line="191" w:lineRule="exact"/>
        <w:rPr>
          <w:sz w:val="20"/>
          <w:szCs w:val="20"/>
          <w:color w:val="auto"/>
        </w:rPr>
      </w:pPr>
    </w:p>
    <w:p>
      <w:pPr>
        <w:spacing w:after="0"/>
        <w:rPr>
          <w:sz w:val="20"/>
          <w:szCs w:val="20"/>
          <w:color w:val="auto"/>
        </w:rPr>
      </w:pPr>
      <w:r>
        <w:rPr>
          <w:rFonts w:ascii="PMingLiU" w:cs="PMingLiU" w:eastAsia="PMingLiU" w:hAnsi="PMingLiU"/>
          <w:sz w:val="20"/>
          <w:szCs w:val="20"/>
          <w:color w:val="auto"/>
        </w:rPr>
        <w:t xml:space="preserve">7KHSULPDU\SURFHGXUHVZHSHUIRUPHGWRDGGUHVVWKLVFULWLFDODXGLWPDWWHULQFOXGHG  </w:t>
      </w:r>
    </w:p>
    <w:p>
      <w:pPr>
        <w:spacing w:after="0" w:line="225" w:lineRule="exact"/>
        <w:rPr>
          <w:sz w:val="20"/>
          <w:szCs w:val="20"/>
          <w:color w:val="auto"/>
        </w:rPr>
      </w:pPr>
    </w:p>
    <w:p>
      <w:pPr>
        <w:ind w:left="1280" w:right="200" w:hanging="359"/>
        <w:spacing w:after="0" w:line="257" w:lineRule="auto"/>
        <w:tabs>
          <w:tab w:leader="none" w:pos="1260" w:val="left"/>
        </w:tabs>
        <w:rPr>
          <w:sz w:val="20"/>
          <w:szCs w:val="20"/>
          <w:color w:val="auto"/>
        </w:rPr>
      </w:pPr>
      <w:r>
        <w:rPr>
          <w:rFonts w:ascii="PMingLiU" w:cs="PMingLiU" w:eastAsia="PMingLiU" w:hAnsi="PMingLiU"/>
          <w:sz w:val="20"/>
          <w:szCs w:val="20"/>
          <w:color w:val="auto"/>
        </w:rPr>
        <w:t xml:space="preserve"> </w:t>
        <w:tab/>
        <w:t>Testing the design and implementation of controls relating to the valuation of mortgaged- backed securities in the Company’s process to select the price from multiple pricing sources to determine the fair value.</w:t>
      </w:r>
    </w:p>
    <w:p>
      <w:pPr>
        <w:spacing w:after="0" w:line="186" w:lineRule="exact"/>
        <w:rPr>
          <w:sz w:val="20"/>
          <w:szCs w:val="20"/>
          <w:color w:val="auto"/>
        </w:rPr>
      </w:pPr>
    </w:p>
    <w:p>
      <w:pPr>
        <w:jc w:val="both"/>
        <w:ind w:left="1280" w:hanging="359"/>
        <w:spacing w:after="0" w:line="243" w:lineRule="auto"/>
        <w:tabs>
          <w:tab w:leader="none" w:pos="1260" w:val="left"/>
        </w:tabs>
        <w:rPr>
          <w:sz w:val="20"/>
          <w:szCs w:val="20"/>
          <w:color w:val="auto"/>
        </w:rPr>
      </w:pPr>
      <w:r>
        <w:rPr>
          <w:rFonts w:ascii="PMingLiU" w:cs="PMingLiU" w:eastAsia="PMingLiU" w:hAnsi="PMingLiU"/>
          <w:sz w:val="20"/>
          <w:szCs w:val="20"/>
          <w:color w:val="auto"/>
        </w:rPr>
        <w:t xml:space="preserve"> </w:t>
        <w:tab/>
        <w:t>Utilizing personnel with specialized skill and knowledge in valuation to: (i) develop an independent estimate of the fair value of each investment utilizing third-party pricing services and independent market data; and (ii) comparing those fair value estimates to the fair value determined by the Company.</w:t>
      </w:r>
    </w:p>
    <w:p>
      <w:pPr>
        <w:spacing w:after="0" w:line="197" w:lineRule="exact"/>
        <w:rPr>
          <w:sz w:val="20"/>
          <w:szCs w:val="20"/>
          <w:color w:val="auto"/>
        </w:rPr>
      </w:pPr>
    </w:p>
    <w:p>
      <w:pPr>
        <w:ind w:left="20"/>
        <w:spacing w:after="0"/>
        <w:rPr>
          <w:sz w:val="20"/>
          <w:szCs w:val="20"/>
          <w:color w:val="auto"/>
        </w:rPr>
      </w:pPr>
      <w:r>
        <w:rPr>
          <w:rFonts w:ascii="PMingLiU" w:cs="PMingLiU" w:eastAsia="PMingLiU" w:hAnsi="PMingLiU"/>
          <w:sz w:val="20"/>
          <w:szCs w:val="20"/>
          <w:color w:val="auto"/>
        </w:rPr>
        <w:t>/s/ BDO USA, P.C.</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PMingLiU" w:cs="PMingLiU" w:eastAsia="PMingLiU" w:hAnsi="PMingLiU"/>
          <w:sz w:val="20"/>
          <w:szCs w:val="20"/>
          <w:color w:val="auto"/>
        </w:rPr>
        <w:t>We have served as the Company's auditor since 2008.</w:t>
      </w:r>
    </w:p>
    <w:p>
      <w:pPr>
        <w:spacing w:after="0" w:line="8" w:lineRule="exact"/>
        <w:rPr>
          <w:sz w:val="20"/>
          <w:szCs w:val="20"/>
          <w:color w:val="auto"/>
        </w:rPr>
      </w:pPr>
    </w:p>
    <w:p>
      <w:pPr>
        <w:spacing w:after="0"/>
        <w:rPr>
          <w:sz w:val="20"/>
          <w:szCs w:val="20"/>
          <w:color w:val="auto"/>
        </w:rPr>
      </w:pPr>
      <w:r>
        <w:rPr>
          <w:rFonts w:ascii="PMingLiU" w:cs="PMingLiU" w:eastAsia="PMingLiU" w:hAnsi="PMingLiU"/>
          <w:sz w:val="20"/>
          <w:szCs w:val="20"/>
          <w:color w:val="auto"/>
        </w:rPr>
        <w:t>West Palm Beach, Florida</w:t>
      </w:r>
    </w:p>
    <w:p>
      <w:pPr>
        <w:spacing w:after="0" w:line="238" w:lineRule="auto"/>
        <w:rPr>
          <w:sz w:val="20"/>
          <w:szCs w:val="20"/>
          <w:color w:val="auto"/>
        </w:rPr>
      </w:pPr>
      <w:r>
        <w:rPr>
          <w:rFonts w:ascii="PMingLiU" w:cs="PMingLiU" w:eastAsia="PMingLiU" w:hAnsi="PMingLiU"/>
          <w:sz w:val="20"/>
          <w:szCs w:val="20"/>
          <w:color w:val="auto"/>
        </w:rPr>
        <w:t>March 13,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520"/>
          </w:cols>
          <w:pgMar w:left="880" w:top="781" w:right="840" w:bottom="135"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20"/>
          <w:szCs w:val="20"/>
          <w:b w:val="1"/>
          <w:bCs w:val="1"/>
          <w:color w:val="auto"/>
        </w:rPr>
        <w:t>BIMINI CAPITAL MANAGEMENT,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5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r>
      <w:tr>
        <w:trPr>
          <w:trHeight w:val="187"/>
        </w:trPr>
        <w:tc>
          <w:tcPr>
            <w:tcW w:w="7560" w:type="dxa"/>
            <w:vAlign w:val="bottom"/>
            <w:tcBorders>
              <w:top w:val="single" w:sz="8" w:color="DDDDDD"/>
            </w:tcBorders>
            <w:shd w:val="clear" w:color="auto" w:fill="DDDDDD"/>
          </w:tcPr>
          <w:p>
            <w:pPr>
              <w:spacing w:after="0" w:line="187"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130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1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130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20" w:type="dxa"/>
            <w:vAlign w:val="bottom"/>
            <w:tcBorders>
              <w:top w:val="single" w:sz="8" w:color="auto"/>
            </w:tcBorders>
            <w:shd w:val="clear" w:color="auto" w:fill="DDDDDD"/>
          </w:tcPr>
          <w:p>
            <w:pPr>
              <w:spacing w:after="0"/>
              <w:rPr>
                <w:sz w:val="16"/>
                <w:szCs w:val="16"/>
                <w:color w:val="auto"/>
              </w:rPr>
            </w:pPr>
          </w:p>
        </w:tc>
      </w:tr>
      <w:tr>
        <w:trPr>
          <w:trHeight w:val="217"/>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 at fair 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56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18"/>
                <w:szCs w:val="18"/>
                <w:color w:val="auto"/>
              </w:rPr>
              <w:t>Pledged to counterparties</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88,807,576</w:t>
            </w: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122,093,172</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46"/>
        </w:trPr>
        <w:tc>
          <w:tcPr>
            <w:tcW w:w="75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Unpledged</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120,949</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254,998</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87"/>
        </w:trPr>
        <w:tc>
          <w:tcPr>
            <w:tcW w:w="7560" w:type="dxa"/>
            <w:vAlign w:val="bottom"/>
            <w:tcBorders>
              <w:top w:val="single" w:sz="8" w:color="DDDDDD"/>
            </w:tcBorders>
            <w:shd w:val="clear" w:color="auto" w:fill="DDDDDD"/>
          </w:tcPr>
          <w:p>
            <w:pPr>
              <w:spacing w:after="0" w:line="187" w:lineRule="exact"/>
              <w:rPr>
                <w:sz w:val="20"/>
                <w:szCs w:val="20"/>
                <w:color w:val="auto"/>
              </w:rPr>
            </w:pPr>
            <w:r>
              <w:rPr>
                <w:rFonts w:ascii="Times New Roman" w:cs="Times New Roman" w:eastAsia="Times New Roman" w:hAnsi="Times New Roman"/>
                <w:sz w:val="18"/>
                <w:szCs w:val="18"/>
                <w:color w:val="auto"/>
              </w:rPr>
              <w:t>Total mortgage-backed securities</w:t>
            </w:r>
          </w:p>
        </w:tc>
        <w:tc>
          <w:tcPr>
            <w:tcW w:w="1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13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88,928,525</w:t>
            </w:r>
          </w:p>
        </w:tc>
        <w:tc>
          <w:tcPr>
            <w:tcW w:w="100" w:type="dxa"/>
            <w:vAlign w:val="bottom"/>
            <w:tcBorders>
              <w:top w:val="single" w:sz="8" w:color="DDDDDD"/>
            </w:tcBorders>
            <w:shd w:val="clear" w:color="auto" w:fill="DDDDDD"/>
          </w:tcPr>
          <w:p>
            <w:pPr>
              <w:spacing w:after="0"/>
              <w:rPr>
                <w:sz w:val="16"/>
                <w:szCs w:val="16"/>
                <w:color w:val="auto"/>
              </w:rPr>
            </w:pPr>
          </w:p>
        </w:tc>
        <w:tc>
          <w:tcPr>
            <w:tcW w:w="1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13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122,348,170</w:t>
            </w:r>
          </w:p>
        </w:tc>
        <w:tc>
          <w:tcPr>
            <w:tcW w:w="100" w:type="dxa"/>
            <w:vAlign w:val="bottom"/>
            <w:tcBorders>
              <w:top w:val="single" w:sz="8" w:color="DDDDDD"/>
            </w:tcBorders>
            <w:shd w:val="clear" w:color="auto" w:fill="DDDDDD"/>
          </w:tcPr>
          <w:p>
            <w:pPr>
              <w:spacing w:after="0"/>
              <w:rPr>
                <w:sz w:val="16"/>
                <w:szCs w:val="16"/>
                <w:color w:val="auto"/>
              </w:rPr>
            </w:pPr>
          </w:p>
        </w:tc>
        <w:tc>
          <w:tcPr>
            <w:tcW w:w="20" w:type="dxa"/>
            <w:vAlign w:val="bottom"/>
            <w:tcBorders>
              <w:top w:val="single" w:sz="8" w:color="auto"/>
            </w:tcBorders>
            <w:shd w:val="clear" w:color="auto" w:fill="DDDDDD"/>
          </w:tcPr>
          <w:p>
            <w:pPr>
              <w:spacing w:after="0"/>
              <w:rPr>
                <w:sz w:val="16"/>
                <w:szCs w:val="16"/>
                <w:color w:val="auto"/>
              </w:rPr>
            </w:pPr>
          </w:p>
        </w:tc>
      </w:tr>
      <w:tr>
        <w:trPr>
          <w:trHeight w:val="217"/>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12,696,660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5,671,347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1,621,399</w:t>
            </w: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1,751,399</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17"/>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Orchid Island Capital, Inc. common stock, at fair 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4,097,311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4,427,372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415,092</w:t>
            </w: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601,640</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17"/>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1,768,864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1,845,014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Deferred tax assets, net of allowances</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17,239,648</w:t>
            </w: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15,930,953</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Due from affiliates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1,660,666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1,167,396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756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1,265,807</w:t>
            </w:r>
          </w:p>
        </w:tc>
        <w:tc>
          <w:tcPr>
            <w:tcW w:w="100" w:type="dxa"/>
            <w:vAlign w:val="bottom"/>
            <w:tcBorders>
              <w:bottom w:val="single" w:sz="8" w:color="auto"/>
            </w:tcBorders>
            <w:shd w:val="clear" w:color="auto" w:fill="DDDDDD"/>
          </w:tcPr>
          <w:p>
            <w:pPr>
              <w:spacing w:after="0"/>
              <w:rPr>
                <w:sz w:val="18"/>
                <w:szCs w:val="18"/>
                <w:color w:val="auto"/>
              </w:rPr>
            </w:pPr>
          </w:p>
        </w:tc>
        <w:tc>
          <w:tcPr>
            <w:tcW w:w="12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1,110,366</w:t>
            </w:r>
          </w:p>
        </w:tc>
        <w:tc>
          <w:tcPr>
            <w:tcW w:w="100" w:type="dxa"/>
            <w:vAlign w:val="bottom"/>
            <w:tcBorders>
              <w:bottom w:val="single" w:sz="8" w:color="auto"/>
            </w:tcBorders>
            <w:shd w:val="clear" w:color="auto" w:fill="DDDDDD"/>
          </w:tcPr>
          <w:p>
            <w:pPr>
              <w:spacing w:after="0"/>
              <w:rPr>
                <w:sz w:val="18"/>
                <w:szCs w:val="18"/>
                <w:color w:val="auto"/>
              </w:rPr>
            </w:pPr>
          </w:p>
        </w:tc>
        <w:tc>
          <w:tcPr>
            <w:tcW w:w="20" w:type="dxa"/>
            <w:vAlign w:val="bottom"/>
            <w:tcBorders>
              <w:bottom w:val="single" w:sz="8" w:color="auto"/>
            </w:tcBorders>
            <w:shd w:val="clear" w:color="auto" w:fill="DDDDDD"/>
          </w:tcPr>
          <w:p>
            <w:pPr>
              <w:spacing w:after="0"/>
              <w:rPr>
                <w:sz w:val="18"/>
                <w:szCs w:val="18"/>
                <w:color w:val="auto"/>
              </w:rPr>
            </w:pPr>
          </w:p>
        </w:tc>
      </w:tr>
      <w:tr>
        <w:trPr>
          <w:trHeight w:val="228"/>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129,693,972</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154,853,657</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0"/>
        </w:trPr>
        <w:tc>
          <w:tcPr>
            <w:tcW w:w="7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97"/>
        </w:trPr>
        <w:tc>
          <w:tcPr>
            <w:tcW w:w="756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3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3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r>
      <w:tr>
        <w:trPr>
          <w:trHeight w:val="217"/>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756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17"/>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Repurchase agreements</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85,326,000</w:t>
            </w: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117,180,999</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27,346,546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27,368,158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300,208</w:t>
            </w: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474,678</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44"/>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4,098,421</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3,008,415</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87"/>
        </w:trPr>
        <w:tc>
          <w:tcPr>
            <w:tcW w:w="7560" w:type="dxa"/>
            <w:vAlign w:val="bottom"/>
            <w:tcBorders>
              <w:top w:val="single" w:sz="8" w:color="DDDDDD"/>
              <w:bottom w:val="single" w:sz="8" w:color="auto"/>
            </w:tcBorders>
            <w:shd w:val="clear" w:color="auto" w:fill="DDDDDD"/>
          </w:tcPr>
          <w:p>
            <w:pPr>
              <w:spacing w:after="0" w:line="187"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1300" w:type="dxa"/>
            <w:vAlign w:val="bottom"/>
            <w:tcBorders>
              <w:top w:val="single" w:sz="8" w:color="DDDDDD"/>
              <w:bottom w:val="single" w:sz="8" w:color="auto"/>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117,071,175</w:t>
            </w: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12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1300" w:type="dxa"/>
            <w:vAlign w:val="bottom"/>
            <w:tcBorders>
              <w:top w:val="single" w:sz="8" w:color="DDDDDD"/>
              <w:bottom w:val="single" w:sz="8" w:color="auto"/>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148,032,250</w:t>
            </w: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20" w:type="dxa"/>
            <w:vAlign w:val="bottom"/>
            <w:tcBorders>
              <w:top w:val="single" w:sz="8" w:color="auto"/>
              <w:bottom w:val="single" w:sz="8" w:color="auto"/>
            </w:tcBorders>
            <w:shd w:val="clear" w:color="auto" w:fill="DDDDDD"/>
          </w:tcPr>
          <w:p>
            <w:pPr>
              <w:spacing w:after="0"/>
              <w:rPr>
                <w:sz w:val="16"/>
                <w:szCs w:val="16"/>
                <w:color w:val="auto"/>
              </w:rPr>
            </w:pPr>
          </w:p>
        </w:tc>
      </w:tr>
      <w:tr>
        <w:trPr>
          <w:trHeight w:val="211"/>
        </w:trPr>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17"/>
        </w:trPr>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193"/>
        </w:trPr>
        <w:tc>
          <w:tcPr>
            <w:tcW w:w="756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100,000 shares designated Series A</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1"/>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Junior Preferred Stock, 9,900,000 shares undesignated; no shares issued and outstanding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2"/>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Class A Common stock, $0.001 par value; 98,000,000 shares designated: 10,005,457 shares issued and</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11"/>
        </w:trPr>
        <w:tc>
          <w:tcPr>
            <w:tcW w:w="756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10,005</w:t>
            </w: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10,005</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194"/>
        </w:trPr>
        <w:tc>
          <w:tcPr>
            <w:tcW w:w="75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Class B Common stock, $0.001 par value; 1,000,000 shares designated, 31,938 shares issued and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1"/>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1"/>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Class C Common stock, $0.001 par value; 1,000,000 shares designated, 31,938 shares issued and</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12"/>
        </w:trPr>
        <w:tc>
          <w:tcPr>
            <w:tcW w:w="756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17"/>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329,815,150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329,815,150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756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(317,202,422</w:t>
            </w: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(323,003,812</w:t>
            </w: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0" w:type="dxa"/>
            <w:vAlign w:val="bottom"/>
            <w:tcBorders>
              <w:bottom w:val="single" w:sz="8" w:color="auto"/>
            </w:tcBorders>
            <w:shd w:val="clear" w:color="auto" w:fill="DDDDDD"/>
          </w:tcPr>
          <w:p>
            <w:pPr>
              <w:spacing w:after="0"/>
              <w:rPr>
                <w:sz w:val="18"/>
                <w:szCs w:val="18"/>
                <w:color w:val="auto"/>
              </w:rPr>
            </w:pPr>
          </w:p>
        </w:tc>
      </w:tr>
      <w:tr>
        <w:trPr>
          <w:trHeight w:val="240"/>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12,622,797</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6,821,407</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10"/>
        </w:trPr>
        <w:tc>
          <w:tcPr>
            <w:tcW w:w="756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2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129,693,972</w:t>
            </w: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12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154,853,657</w:t>
            </w: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20" w:type="dxa"/>
            <w:vAlign w:val="bottom"/>
            <w:tcBorders>
              <w:top w:val="single" w:sz="8" w:color="auto"/>
              <w:bottom w:val="single" w:sz="8" w:color="DDDDDD"/>
            </w:tcBorders>
            <w:shd w:val="clear" w:color="auto" w:fill="DDDDDD"/>
          </w:tcPr>
          <w:p>
            <w:pPr>
              <w:spacing w:after="0"/>
              <w:rPr>
                <w:sz w:val="17"/>
                <w:szCs w:val="17"/>
                <w:color w:val="auto"/>
              </w:rPr>
            </w:pPr>
          </w:p>
        </w:tc>
      </w:tr>
      <w:tr>
        <w:trPr>
          <w:trHeight w:val="20"/>
        </w:trPr>
        <w:tc>
          <w:tcPr>
            <w:tcW w:w="7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-3662045</wp:posOffset>
                </wp:positionV>
                <wp:extent cx="685800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288.3499pt" to="540.2pt,-288.3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-2232025</wp:posOffset>
                </wp:positionV>
                <wp:extent cx="685800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75.7499pt" to="540.2pt,-175.7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-320040</wp:posOffset>
                </wp:positionV>
                <wp:extent cx="685800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25.1999pt" to="540.2pt,-25.1999pt" o:allowincell="f" strokecolor="#FFFFFF" strokeweight="0.14pt"/>
            </w:pict>
          </mc:Fallback>
        </mc:AlternateConten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800"/>
          </w:cols>
          <w:pgMar w:left="720" w:top="1062" w:right="720" w:bottom="135"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20"/>
          <w:szCs w:val="20"/>
          <w:b w:val="1"/>
          <w:bCs w:val="1"/>
          <w:color w:val="auto"/>
        </w:rPr>
        <w:t>BIMINI CAPITAL MANAGEMENT,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For the Years Ended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56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r>
      <w:tr>
        <w:trPr>
          <w:trHeight w:val="187"/>
        </w:trPr>
        <w:tc>
          <w:tcPr>
            <w:tcW w:w="7560" w:type="dxa"/>
            <w:vAlign w:val="bottom"/>
            <w:tcBorders>
              <w:top w:val="single" w:sz="8" w:color="DDDDDD"/>
            </w:tcBorders>
            <w:shd w:val="clear" w:color="auto" w:fill="DDDDDD"/>
          </w:tcPr>
          <w:p>
            <w:pPr>
              <w:spacing w:after="0" w:line="187"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Borders>
              <w:top w:val="single" w:sz="8" w:color="DDDDDD"/>
            </w:tcBorders>
            <w:shd w:val="clear" w:color="auto" w:fill="DDDDDD"/>
          </w:tcPr>
          <w:p>
            <w:pPr>
              <w:spacing w:after="0"/>
              <w:rPr>
                <w:sz w:val="16"/>
                <w:szCs w:val="16"/>
                <w:color w:val="auto"/>
              </w:rPr>
            </w:pPr>
          </w:p>
        </w:tc>
        <w:tc>
          <w:tcPr>
            <w:tcW w:w="130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220" w:type="dxa"/>
            <w:vAlign w:val="bottom"/>
            <w:tcBorders>
              <w:top w:val="single" w:sz="8" w:color="DDDDDD"/>
            </w:tcBorders>
            <w:shd w:val="clear" w:color="auto" w:fill="DDDDDD"/>
          </w:tcPr>
          <w:p>
            <w:pPr>
              <w:spacing w:after="0"/>
              <w:rPr>
                <w:sz w:val="16"/>
                <w:szCs w:val="16"/>
                <w:color w:val="auto"/>
              </w:rPr>
            </w:pPr>
          </w:p>
        </w:tc>
        <w:tc>
          <w:tcPr>
            <w:tcW w:w="130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20" w:type="dxa"/>
            <w:vAlign w:val="bottom"/>
            <w:tcBorders>
              <w:top w:val="single" w:sz="8" w:color="auto"/>
            </w:tcBorders>
            <w:shd w:val="clear" w:color="auto" w:fill="DDDDDD"/>
          </w:tcPr>
          <w:p>
            <w:pPr>
              <w:spacing w:after="0"/>
              <w:rPr>
                <w:sz w:val="16"/>
                <w:szCs w:val="16"/>
                <w:color w:val="auto"/>
              </w:rPr>
            </w:pPr>
          </w:p>
        </w:tc>
      </w:tr>
      <w:tr>
        <w:trPr>
          <w:trHeight w:val="217"/>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Advisory services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16,575,415</w:t>
            </w:r>
          </w:p>
        </w:tc>
        <w:tc>
          <w:tcPr>
            <w:tcW w:w="1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12,784,468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6,308,786</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5,838,764</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46"/>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Dividend income from Orchid Island Capital, Inc. common stock</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819,462</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819,462</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87"/>
        </w:trPr>
        <w:tc>
          <w:tcPr>
            <w:tcW w:w="7560" w:type="dxa"/>
            <w:vAlign w:val="bottom"/>
            <w:tcBorders>
              <w:top w:val="single" w:sz="8" w:color="DDDDDD"/>
            </w:tcBorders>
            <w:shd w:val="clear" w:color="auto" w:fill="DDDDDD"/>
          </w:tcPr>
          <w:p>
            <w:pPr>
              <w:spacing w:after="0" w:line="187" w:lineRule="exact"/>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top w:val="single" w:sz="8" w:color="DDDDDD"/>
            </w:tcBorders>
            <w:shd w:val="clear" w:color="auto" w:fill="DDDDDD"/>
          </w:tcPr>
          <w:p>
            <w:pPr>
              <w:spacing w:after="0"/>
              <w:rPr>
                <w:sz w:val="16"/>
                <w:szCs w:val="16"/>
                <w:color w:val="auto"/>
              </w:rPr>
            </w:pPr>
          </w:p>
        </w:tc>
        <w:tc>
          <w:tcPr>
            <w:tcW w:w="13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23,703,663</w:t>
            </w:r>
          </w:p>
        </w:tc>
        <w:tc>
          <w:tcPr>
            <w:tcW w:w="100" w:type="dxa"/>
            <w:vAlign w:val="bottom"/>
            <w:tcBorders>
              <w:top w:val="single" w:sz="8" w:color="DDDDDD"/>
            </w:tcBorders>
            <w:shd w:val="clear" w:color="auto" w:fill="DDDDDD"/>
          </w:tcPr>
          <w:p>
            <w:pPr>
              <w:spacing w:after="0"/>
              <w:rPr>
                <w:sz w:val="16"/>
                <w:szCs w:val="16"/>
                <w:color w:val="auto"/>
              </w:rPr>
            </w:pPr>
          </w:p>
        </w:tc>
        <w:tc>
          <w:tcPr>
            <w:tcW w:w="220" w:type="dxa"/>
            <w:vAlign w:val="bottom"/>
            <w:tcBorders>
              <w:top w:val="single" w:sz="8" w:color="DDDDDD"/>
            </w:tcBorders>
            <w:shd w:val="clear" w:color="auto" w:fill="DDDDDD"/>
          </w:tcPr>
          <w:p>
            <w:pPr>
              <w:spacing w:after="0"/>
              <w:rPr>
                <w:sz w:val="16"/>
                <w:szCs w:val="16"/>
                <w:color w:val="auto"/>
              </w:rPr>
            </w:pPr>
          </w:p>
        </w:tc>
        <w:tc>
          <w:tcPr>
            <w:tcW w:w="13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19,442,694</w:t>
            </w:r>
          </w:p>
        </w:tc>
        <w:tc>
          <w:tcPr>
            <w:tcW w:w="100" w:type="dxa"/>
            <w:vAlign w:val="bottom"/>
            <w:tcBorders>
              <w:top w:val="single" w:sz="8" w:color="DDDDDD"/>
            </w:tcBorders>
            <w:shd w:val="clear" w:color="auto" w:fill="DDDDDD"/>
          </w:tcPr>
          <w:p>
            <w:pPr>
              <w:spacing w:after="0"/>
              <w:rPr>
                <w:sz w:val="16"/>
                <w:szCs w:val="16"/>
                <w:color w:val="auto"/>
              </w:rPr>
            </w:pPr>
          </w:p>
        </w:tc>
        <w:tc>
          <w:tcPr>
            <w:tcW w:w="20" w:type="dxa"/>
            <w:vAlign w:val="bottom"/>
            <w:tcBorders>
              <w:top w:val="single" w:sz="8" w:color="auto"/>
            </w:tcBorders>
            <w:shd w:val="clear" w:color="auto" w:fill="DDDDDD"/>
          </w:tcPr>
          <w:p>
            <w:pPr>
              <w:spacing w:after="0"/>
              <w:rPr>
                <w:sz w:val="16"/>
                <w:szCs w:val="16"/>
                <w:color w:val="auto"/>
              </w:rPr>
            </w:pPr>
          </w:p>
        </w:tc>
      </w:tr>
      <w:tr>
        <w:trPr>
          <w:trHeight w:val="217"/>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560" w:type="dxa"/>
            <w:vAlign w:val="bottom"/>
            <w:shd w:val="clear" w:color="auto" w:fill="DDDDDD"/>
          </w:tcPr>
          <w:p>
            <w:pPr>
              <w:ind w:left="360"/>
              <w:spacing w:after="0"/>
              <w:rPr>
                <w:sz w:val="20"/>
                <w:szCs w:val="20"/>
                <w:color w:val="auto"/>
              </w:rPr>
            </w:pPr>
            <w:r>
              <w:rPr>
                <w:rFonts w:ascii="Times New Roman" w:cs="Times New Roman" w:eastAsia="Times New Roman" w:hAnsi="Times New Roman"/>
                <w:sz w:val="18"/>
                <w:szCs w:val="18"/>
                <w:color w:val="auto"/>
              </w:rPr>
              <w:t>Repurchase agreements</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(4,676,616</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(5,139,959</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0" w:type="dxa"/>
            <w:vAlign w:val="bottom"/>
            <w:shd w:val="clear" w:color="auto" w:fill="DDDDDD"/>
          </w:tcPr>
          <w:p>
            <w:pPr>
              <w:spacing w:after="0"/>
              <w:rPr>
                <w:sz w:val="18"/>
                <w:szCs w:val="18"/>
                <w:color w:val="auto"/>
              </w:rPr>
            </w:pPr>
          </w:p>
        </w:tc>
      </w:tr>
      <w:tr>
        <w:trPr>
          <w:trHeight w:val="246"/>
        </w:trPr>
        <w:tc>
          <w:tcPr>
            <w:tcW w:w="75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(2,135,703 )</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(2,401,308 )</w:t>
            </w:r>
          </w:p>
        </w:tc>
        <w:tc>
          <w:tcPr>
            <w:tcW w:w="20" w:type="dxa"/>
            <w:vAlign w:val="bottom"/>
            <w:tcBorders>
              <w:bottom w:val="single" w:sz="8" w:color="auto"/>
            </w:tcBorders>
          </w:tcPr>
          <w:p>
            <w:pPr>
              <w:spacing w:after="0"/>
              <w:rPr>
                <w:sz w:val="20"/>
                <w:szCs w:val="20"/>
                <w:color w:val="auto"/>
              </w:rPr>
            </w:pPr>
          </w:p>
        </w:tc>
      </w:tr>
      <w:tr>
        <w:trPr>
          <w:trHeight w:val="185"/>
        </w:trPr>
        <w:tc>
          <w:tcPr>
            <w:tcW w:w="7560" w:type="dxa"/>
            <w:vAlign w:val="bottom"/>
            <w:tcBorders>
              <w:top w:val="single" w:sz="8" w:color="DDDDDD"/>
              <w:bottom w:val="single" w:sz="8" w:color="auto"/>
            </w:tcBorders>
            <w:shd w:val="clear" w:color="auto" w:fill="DDDDDD"/>
          </w:tcPr>
          <w:p>
            <w:pPr>
              <w:spacing w:after="0" w:line="185" w:lineRule="exact"/>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Borders>
              <w:top w:val="single" w:sz="8" w:color="DDDDDD"/>
              <w:bottom w:val="single" w:sz="8" w:color="auto"/>
            </w:tcBorders>
            <w:shd w:val="clear" w:color="auto" w:fill="DDDDDD"/>
          </w:tcPr>
          <w:p>
            <w:pPr>
              <w:spacing w:after="0"/>
              <w:rPr>
                <w:sz w:val="16"/>
                <w:szCs w:val="16"/>
                <w:color w:val="auto"/>
              </w:rPr>
            </w:pPr>
          </w:p>
        </w:tc>
        <w:tc>
          <w:tcPr>
            <w:tcW w:w="1300" w:type="dxa"/>
            <w:vAlign w:val="bottom"/>
            <w:tcBorders>
              <w:top w:val="single" w:sz="8" w:color="DDDDDD"/>
              <w:bottom w:val="single" w:sz="8" w:color="auto"/>
            </w:tcBorders>
            <w:shd w:val="clear" w:color="auto" w:fill="DDDDDD"/>
          </w:tcPr>
          <w:p>
            <w:pPr>
              <w:jc w:val="right"/>
              <w:spacing w:after="0" w:line="185" w:lineRule="exact"/>
              <w:rPr>
                <w:sz w:val="20"/>
                <w:szCs w:val="20"/>
                <w:color w:val="auto"/>
              </w:rPr>
            </w:pPr>
            <w:r>
              <w:rPr>
                <w:rFonts w:ascii="Times New Roman" w:cs="Times New Roman" w:eastAsia="Times New Roman" w:hAnsi="Times New Roman"/>
                <w:sz w:val="18"/>
                <w:szCs w:val="18"/>
                <w:color w:val="auto"/>
              </w:rPr>
              <w:t>16,891,344</w:t>
            </w: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220" w:type="dxa"/>
            <w:vAlign w:val="bottom"/>
            <w:tcBorders>
              <w:top w:val="single" w:sz="8" w:color="DDDDDD"/>
              <w:bottom w:val="single" w:sz="8" w:color="auto"/>
            </w:tcBorders>
            <w:shd w:val="clear" w:color="auto" w:fill="DDDDDD"/>
          </w:tcPr>
          <w:p>
            <w:pPr>
              <w:spacing w:after="0"/>
              <w:rPr>
                <w:sz w:val="16"/>
                <w:szCs w:val="16"/>
                <w:color w:val="auto"/>
              </w:rPr>
            </w:pPr>
          </w:p>
        </w:tc>
        <w:tc>
          <w:tcPr>
            <w:tcW w:w="1300" w:type="dxa"/>
            <w:vAlign w:val="bottom"/>
            <w:tcBorders>
              <w:top w:val="single" w:sz="8" w:color="DDDDDD"/>
              <w:bottom w:val="single" w:sz="8" w:color="auto"/>
            </w:tcBorders>
            <w:shd w:val="clear" w:color="auto" w:fill="DDDDDD"/>
          </w:tcPr>
          <w:p>
            <w:pPr>
              <w:jc w:val="right"/>
              <w:spacing w:after="0" w:line="185" w:lineRule="exact"/>
              <w:rPr>
                <w:sz w:val="20"/>
                <w:szCs w:val="20"/>
                <w:color w:val="auto"/>
              </w:rPr>
            </w:pPr>
            <w:r>
              <w:rPr>
                <w:rFonts w:ascii="Times New Roman" w:cs="Times New Roman" w:eastAsia="Times New Roman" w:hAnsi="Times New Roman"/>
                <w:sz w:val="18"/>
                <w:szCs w:val="18"/>
                <w:color w:val="auto"/>
              </w:rPr>
              <w:t>11,901,427</w:t>
            </w: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20" w:type="dxa"/>
            <w:vAlign w:val="bottom"/>
            <w:tcBorders>
              <w:top w:val="single" w:sz="8" w:color="auto"/>
              <w:bottom w:val="single" w:sz="8" w:color="auto"/>
            </w:tcBorders>
            <w:shd w:val="clear" w:color="auto" w:fill="DDDDDD"/>
          </w:tcPr>
          <w:p>
            <w:pPr>
              <w:spacing w:after="0"/>
              <w:rPr>
                <w:sz w:val="16"/>
                <w:szCs w:val="16"/>
                <w:color w:val="auto"/>
              </w:rPr>
            </w:pPr>
          </w:p>
        </w:tc>
      </w:tr>
      <w:tr>
        <w:trPr>
          <w:trHeight w:val="212"/>
        </w:trPr>
        <w:tc>
          <w:tcPr>
            <w:tcW w:w="7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17"/>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(losses) on mortgage-backed securities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2,687,955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(308,521 )</w:t>
            </w:r>
          </w:p>
        </w:tc>
        <w:tc>
          <w:tcPr>
            <w:tcW w:w="20" w:type="dxa"/>
            <w:vAlign w:val="bottom"/>
          </w:tcPr>
          <w:p>
            <w:pPr>
              <w:spacing w:after="0"/>
              <w:rPr>
                <w:sz w:val="18"/>
                <w:szCs w:val="18"/>
                <w:color w:val="auto"/>
              </w:rPr>
            </w:pPr>
          </w:p>
        </w:tc>
      </w:tr>
      <w:tr>
        <w:trPr>
          <w:trHeight w:val="217"/>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Realized losses on mortgage-backed securities</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(219,054</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(561,604</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0" w:type="dxa"/>
            <w:vAlign w:val="bottom"/>
            <w:shd w:val="clear" w:color="auto" w:fill="DDDDDD"/>
          </w:tcPr>
          <w:p>
            <w:pPr>
              <w:spacing w:after="0"/>
              <w:rPr>
                <w:sz w:val="18"/>
                <w:szCs w:val="18"/>
                <w:color w:val="auto"/>
              </w:rPr>
            </w:pPr>
          </w:p>
        </w:tc>
      </w:tr>
      <w:tr>
        <w:trPr>
          <w:trHeight w:val="217"/>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losses on Orchid Island Capital, Inc. common stock</w:t>
            </w:r>
          </w:p>
        </w:tc>
        <w:tc>
          <w:tcPr>
            <w:tcW w:w="2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(330,061 )</w:t>
            </w:r>
          </w:p>
        </w:tc>
        <w:tc>
          <w:tcPr>
            <w:tcW w:w="2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(369,897 )</w:t>
            </w:r>
          </w:p>
        </w:tc>
        <w:tc>
          <w:tcPr>
            <w:tcW w:w="20" w:type="dxa"/>
            <w:vAlign w:val="bottom"/>
          </w:tcPr>
          <w:p>
            <w:pPr>
              <w:spacing w:after="0"/>
              <w:rPr>
                <w:sz w:val="18"/>
                <w:szCs w:val="18"/>
                <w:color w:val="auto"/>
              </w:rPr>
            </w:pPr>
          </w:p>
        </w:tc>
      </w:tr>
      <w:tr>
        <w:trPr>
          <w:trHeight w:val="217"/>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(Losses) gains on derivative instruments</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(1,933,750</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2,407,022</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45"/>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86"/>
        </w:trPr>
        <w:tc>
          <w:tcPr>
            <w:tcW w:w="7560" w:type="dxa"/>
            <w:vAlign w:val="bottom"/>
            <w:tcBorders>
              <w:top w:val="single" w:sz="8" w:color="DDDDDD"/>
              <w:bottom w:val="single" w:sz="8" w:color="auto"/>
            </w:tcBorders>
            <w:shd w:val="clear" w:color="auto" w:fill="DDDDDD"/>
          </w:tcPr>
          <w:p>
            <w:pPr>
              <w:spacing w:after="0" w:line="186" w:lineRule="exact"/>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top w:val="single" w:sz="8" w:color="DDDDDD"/>
              <w:bottom w:val="single" w:sz="8" w:color="auto"/>
            </w:tcBorders>
            <w:shd w:val="clear" w:color="auto" w:fill="DDDDDD"/>
          </w:tcPr>
          <w:p>
            <w:pPr>
              <w:spacing w:after="0"/>
              <w:rPr>
                <w:sz w:val="16"/>
                <w:szCs w:val="16"/>
                <w:color w:val="auto"/>
              </w:rPr>
            </w:pPr>
          </w:p>
        </w:tc>
        <w:tc>
          <w:tcPr>
            <w:tcW w:w="1300" w:type="dxa"/>
            <w:vAlign w:val="bottom"/>
            <w:tcBorders>
              <w:top w:val="single" w:sz="8" w:color="DDDDDD"/>
              <w:bottom w:val="single" w:sz="8" w:color="auto"/>
            </w:tcBorders>
            <w:shd w:val="clear" w:color="auto" w:fill="DDDDDD"/>
          </w:tcPr>
          <w:p>
            <w:pPr>
              <w:jc w:val="right"/>
              <w:spacing w:after="0" w:line="186" w:lineRule="exact"/>
              <w:rPr>
                <w:sz w:val="20"/>
                <w:szCs w:val="20"/>
                <w:color w:val="auto"/>
              </w:rPr>
            </w:pPr>
            <w:r>
              <w:rPr>
                <w:rFonts w:ascii="Times New Roman" w:cs="Times New Roman" w:eastAsia="Times New Roman" w:hAnsi="Times New Roman"/>
                <w:sz w:val="18"/>
                <w:szCs w:val="18"/>
                <w:color w:val="auto"/>
              </w:rPr>
              <w:t>205,090</w:t>
            </w: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220" w:type="dxa"/>
            <w:vAlign w:val="bottom"/>
            <w:tcBorders>
              <w:top w:val="single" w:sz="8" w:color="DDDDDD"/>
              <w:bottom w:val="single" w:sz="8" w:color="auto"/>
            </w:tcBorders>
            <w:shd w:val="clear" w:color="auto" w:fill="DDDDDD"/>
          </w:tcPr>
          <w:p>
            <w:pPr>
              <w:spacing w:after="0"/>
              <w:rPr>
                <w:sz w:val="16"/>
                <w:szCs w:val="16"/>
                <w:color w:val="auto"/>
              </w:rPr>
            </w:pPr>
          </w:p>
        </w:tc>
        <w:tc>
          <w:tcPr>
            <w:tcW w:w="1300" w:type="dxa"/>
            <w:vAlign w:val="bottom"/>
            <w:tcBorders>
              <w:top w:val="single" w:sz="8" w:color="DDDDDD"/>
              <w:bottom w:val="single" w:sz="8" w:color="auto"/>
            </w:tcBorders>
            <w:shd w:val="clear" w:color="auto" w:fill="DDDDDD"/>
          </w:tcPr>
          <w:p>
            <w:pPr>
              <w:jc w:val="right"/>
              <w:spacing w:after="0" w:line="186" w:lineRule="exact"/>
              <w:rPr>
                <w:sz w:val="20"/>
                <w:szCs w:val="20"/>
                <w:color w:val="auto"/>
              </w:rPr>
            </w:pPr>
            <w:r>
              <w:rPr>
                <w:rFonts w:ascii="Times New Roman" w:cs="Times New Roman" w:eastAsia="Times New Roman" w:hAnsi="Times New Roman"/>
                <w:sz w:val="18"/>
                <w:szCs w:val="18"/>
                <w:color w:val="auto"/>
              </w:rPr>
              <w:t>1,167,019</w:t>
            </w: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20" w:type="dxa"/>
            <w:vAlign w:val="bottom"/>
            <w:tcBorders>
              <w:top w:val="single" w:sz="8" w:color="auto"/>
              <w:bottom w:val="single" w:sz="8" w:color="auto"/>
            </w:tcBorders>
            <w:shd w:val="clear" w:color="auto" w:fill="DDDDDD"/>
          </w:tcPr>
          <w:p>
            <w:pPr>
              <w:spacing w:after="0"/>
              <w:rPr>
                <w:sz w:val="16"/>
                <w:szCs w:val="16"/>
                <w:color w:val="auto"/>
              </w:rPr>
            </w:pPr>
          </w:p>
        </w:tc>
      </w:tr>
      <w:tr>
        <w:trPr>
          <w:trHeight w:val="211"/>
        </w:trPr>
        <w:tc>
          <w:tcPr>
            <w:tcW w:w="7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15"/>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8,309,939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7,287,261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8"/>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Direct advisory service costs</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1,694,555</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1,667,200</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15"/>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Directors' fees and liability insurance</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871,667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841,215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0"/>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Audit, legal and other professional fees</w:t>
            </w:r>
          </w:p>
        </w:tc>
        <w:tc>
          <w:tcPr>
            <w:tcW w:w="220" w:type="dxa"/>
            <w:vAlign w:val="bottom"/>
            <w:shd w:val="clear" w:color="auto" w:fill="DDDDDD"/>
          </w:tcPr>
          <w:p>
            <w:pPr>
              <w:spacing w:after="0"/>
              <w:rPr>
                <w:sz w:val="19"/>
                <w:szCs w:val="19"/>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1,124,067</w:t>
            </w:r>
          </w:p>
        </w:tc>
        <w:tc>
          <w:tcPr>
            <w:tcW w:w="10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653,610</w:t>
            </w: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r>
      <w:tr>
        <w:trPr>
          <w:trHeight w:val="245"/>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Administrative and other expenses</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603,511</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808,767</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86"/>
        </w:trPr>
        <w:tc>
          <w:tcPr>
            <w:tcW w:w="7560" w:type="dxa"/>
            <w:vAlign w:val="bottom"/>
            <w:tcBorders>
              <w:top w:val="single" w:sz="8" w:color="DDDDDD"/>
              <w:bottom w:val="single" w:sz="8" w:color="auto"/>
            </w:tcBorders>
            <w:shd w:val="clear" w:color="auto" w:fill="DDDDDD"/>
          </w:tcPr>
          <w:p>
            <w:pPr>
              <w:spacing w:after="0" w:line="186" w:lineRule="exact"/>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Borders>
              <w:top w:val="single" w:sz="8" w:color="DDDDDD"/>
              <w:bottom w:val="single" w:sz="8" w:color="auto"/>
            </w:tcBorders>
            <w:shd w:val="clear" w:color="auto" w:fill="DDDDDD"/>
          </w:tcPr>
          <w:p>
            <w:pPr>
              <w:spacing w:after="0"/>
              <w:rPr>
                <w:sz w:val="16"/>
                <w:szCs w:val="16"/>
                <w:color w:val="auto"/>
              </w:rPr>
            </w:pPr>
          </w:p>
        </w:tc>
        <w:tc>
          <w:tcPr>
            <w:tcW w:w="1300" w:type="dxa"/>
            <w:vAlign w:val="bottom"/>
            <w:tcBorders>
              <w:top w:val="single" w:sz="8" w:color="DDDDDD"/>
              <w:bottom w:val="single" w:sz="8" w:color="auto"/>
            </w:tcBorders>
            <w:shd w:val="clear" w:color="auto" w:fill="DDDDDD"/>
          </w:tcPr>
          <w:p>
            <w:pPr>
              <w:jc w:val="right"/>
              <w:spacing w:after="0" w:line="186" w:lineRule="exact"/>
              <w:rPr>
                <w:sz w:val="20"/>
                <w:szCs w:val="20"/>
                <w:color w:val="auto"/>
              </w:rPr>
            </w:pPr>
            <w:r>
              <w:rPr>
                <w:rFonts w:ascii="Times New Roman" w:cs="Times New Roman" w:eastAsia="Times New Roman" w:hAnsi="Times New Roman"/>
                <w:sz w:val="18"/>
                <w:szCs w:val="18"/>
                <w:color w:val="auto"/>
              </w:rPr>
              <w:t>12,603,739</w:t>
            </w: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220" w:type="dxa"/>
            <w:vAlign w:val="bottom"/>
            <w:tcBorders>
              <w:top w:val="single" w:sz="8" w:color="DDDDDD"/>
              <w:bottom w:val="single" w:sz="8" w:color="auto"/>
            </w:tcBorders>
            <w:shd w:val="clear" w:color="auto" w:fill="DDDDDD"/>
          </w:tcPr>
          <w:p>
            <w:pPr>
              <w:spacing w:after="0"/>
              <w:rPr>
                <w:sz w:val="16"/>
                <w:szCs w:val="16"/>
                <w:color w:val="auto"/>
              </w:rPr>
            </w:pPr>
          </w:p>
        </w:tc>
        <w:tc>
          <w:tcPr>
            <w:tcW w:w="1300" w:type="dxa"/>
            <w:vAlign w:val="bottom"/>
            <w:tcBorders>
              <w:top w:val="single" w:sz="8" w:color="DDDDDD"/>
              <w:bottom w:val="single" w:sz="8" w:color="auto"/>
            </w:tcBorders>
            <w:shd w:val="clear" w:color="auto" w:fill="DDDDDD"/>
          </w:tcPr>
          <w:p>
            <w:pPr>
              <w:jc w:val="right"/>
              <w:spacing w:after="0" w:line="186" w:lineRule="exact"/>
              <w:rPr>
                <w:sz w:val="20"/>
                <w:szCs w:val="20"/>
                <w:color w:val="auto"/>
              </w:rPr>
            </w:pPr>
            <w:r>
              <w:rPr>
                <w:rFonts w:ascii="Times New Roman" w:cs="Times New Roman" w:eastAsia="Times New Roman" w:hAnsi="Times New Roman"/>
                <w:sz w:val="18"/>
                <w:szCs w:val="18"/>
                <w:color w:val="auto"/>
              </w:rPr>
              <w:t>11,258,053</w:t>
            </w: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20" w:type="dxa"/>
            <w:vAlign w:val="bottom"/>
            <w:tcBorders>
              <w:top w:val="single" w:sz="8" w:color="auto"/>
              <w:bottom w:val="single" w:sz="8" w:color="auto"/>
            </w:tcBorders>
            <w:shd w:val="clear" w:color="auto" w:fill="DDDDDD"/>
          </w:tcPr>
          <w:p>
            <w:pPr>
              <w:spacing w:after="0"/>
              <w:rPr>
                <w:sz w:val="16"/>
                <w:szCs w:val="16"/>
                <w:color w:val="auto"/>
              </w:rPr>
            </w:pPr>
          </w:p>
        </w:tc>
      </w:tr>
      <w:tr>
        <w:trPr>
          <w:trHeight w:val="211"/>
        </w:trPr>
        <w:tc>
          <w:tcPr>
            <w:tcW w:w="7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Net income before income tax (benefit) provision</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4,492,695</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1,810,393</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20"/>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(1,308,695 )</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3,116,727</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07"/>
        </w:trPr>
        <w:tc>
          <w:tcPr>
            <w:tcW w:w="756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13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13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r>
      <w:tr>
        <w:trPr>
          <w:trHeight w:val="212"/>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highlight w:val="white"/>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5,801,390</w:t>
            </w:r>
          </w:p>
        </w:tc>
        <w:tc>
          <w:tcPr>
            <w:tcW w:w="1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highlight w:val="white"/>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(1,306,334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20" w:type="dxa"/>
            <w:vAlign w:val="bottom"/>
          </w:tcPr>
          <w:p>
            <w:pPr>
              <w:spacing w:after="0"/>
              <w:rPr>
                <w:sz w:val="18"/>
                <w:szCs w:val="18"/>
                <w:color w:val="auto"/>
              </w:rPr>
            </w:pPr>
          </w:p>
        </w:tc>
      </w:tr>
      <w:tr>
        <w:trPr>
          <w:trHeight w:val="22"/>
        </w:trPr>
        <w:tc>
          <w:tcPr>
            <w:tcW w:w="7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0"/>
        </w:trPr>
        <w:tc>
          <w:tcPr>
            <w:tcW w:w="7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97"/>
        </w:trPr>
        <w:tc>
          <w:tcPr>
            <w:tcW w:w="756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13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13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r>
      <w:tr>
        <w:trPr>
          <w:trHeight w:val="246"/>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(Loss) Per Share of:</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87"/>
        </w:trPr>
        <w:tc>
          <w:tcPr>
            <w:tcW w:w="7560" w:type="dxa"/>
            <w:vAlign w:val="bottom"/>
            <w:tcBorders>
              <w:top w:val="single" w:sz="8" w:color="DDDDDD"/>
            </w:tcBorders>
            <w:shd w:val="clear" w:color="auto" w:fill="DDDDDD"/>
          </w:tcPr>
          <w:p>
            <w:pPr>
              <w:spacing w:after="0" w:line="187" w:lineRule="exact"/>
              <w:rPr>
                <w:sz w:val="20"/>
                <w:szCs w:val="20"/>
                <w:color w:val="auto"/>
              </w:rPr>
            </w:pPr>
            <w:r>
              <w:rPr>
                <w:rFonts w:ascii="Times New Roman" w:cs="Times New Roman" w:eastAsia="Times New Roman" w:hAnsi="Times New Roman"/>
                <w:sz w:val="18"/>
                <w:szCs w:val="18"/>
                <w:color w:val="auto"/>
              </w:rPr>
              <w:t>CLASS A COMMON STOCK</w:t>
            </w:r>
          </w:p>
        </w:tc>
        <w:tc>
          <w:tcPr>
            <w:tcW w:w="220" w:type="dxa"/>
            <w:vAlign w:val="bottom"/>
            <w:tcBorders>
              <w:top w:val="single" w:sz="8" w:color="DDDDDD"/>
            </w:tcBorders>
            <w:shd w:val="clear" w:color="auto" w:fill="DDDDDD"/>
          </w:tcPr>
          <w:p>
            <w:pPr>
              <w:spacing w:after="0"/>
              <w:rPr>
                <w:sz w:val="16"/>
                <w:szCs w:val="16"/>
                <w:color w:val="auto"/>
              </w:rPr>
            </w:pPr>
          </w:p>
        </w:tc>
        <w:tc>
          <w:tcPr>
            <w:tcW w:w="130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220" w:type="dxa"/>
            <w:vAlign w:val="bottom"/>
            <w:tcBorders>
              <w:top w:val="single" w:sz="8" w:color="DDDDDD"/>
            </w:tcBorders>
            <w:shd w:val="clear" w:color="auto" w:fill="DDDDDD"/>
          </w:tcPr>
          <w:p>
            <w:pPr>
              <w:spacing w:after="0"/>
              <w:rPr>
                <w:sz w:val="16"/>
                <w:szCs w:val="16"/>
                <w:color w:val="auto"/>
              </w:rPr>
            </w:pPr>
          </w:p>
        </w:tc>
        <w:tc>
          <w:tcPr>
            <w:tcW w:w="130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20" w:type="dxa"/>
            <w:vAlign w:val="bottom"/>
            <w:tcBorders>
              <w:top w:val="single" w:sz="8" w:color="auto"/>
            </w:tcBorders>
            <w:shd w:val="clear" w:color="auto" w:fill="DDDDDD"/>
          </w:tcPr>
          <w:p>
            <w:pPr>
              <w:spacing w:after="0"/>
              <w:rPr>
                <w:sz w:val="16"/>
                <w:szCs w:val="16"/>
                <w:color w:val="auto"/>
              </w:rPr>
            </w:pPr>
          </w:p>
        </w:tc>
      </w:tr>
      <w:tr>
        <w:trPr>
          <w:trHeight w:val="217"/>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(0.13 )</w:t>
            </w:r>
          </w:p>
        </w:tc>
        <w:tc>
          <w:tcPr>
            <w:tcW w:w="20" w:type="dxa"/>
            <w:vAlign w:val="bottom"/>
          </w:tcPr>
          <w:p>
            <w:pPr>
              <w:spacing w:after="0"/>
              <w:rPr>
                <w:sz w:val="18"/>
                <w:szCs w:val="18"/>
                <w:color w:val="auto"/>
              </w:rPr>
            </w:pPr>
          </w:p>
        </w:tc>
      </w:tr>
      <w:tr>
        <w:trPr>
          <w:trHeight w:val="217"/>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(0.13 )</w:t>
            </w:r>
          </w:p>
        </w:tc>
        <w:tc>
          <w:tcPr>
            <w:tcW w:w="20" w:type="dxa"/>
            <w:vAlign w:val="bottom"/>
          </w:tcPr>
          <w:p>
            <w:pPr>
              <w:spacing w:after="0"/>
              <w:rPr>
                <w:sz w:val="18"/>
                <w:szCs w:val="18"/>
                <w:color w:val="auto"/>
              </w:rPr>
            </w:pPr>
          </w:p>
        </w:tc>
      </w:tr>
      <w:tr>
        <w:trPr>
          <w:trHeight w:val="219"/>
        </w:trPr>
        <w:tc>
          <w:tcPr>
            <w:tcW w:w="756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20" w:type="dxa"/>
            <w:vAlign w:val="bottom"/>
            <w:tcBorders>
              <w:bottom w:val="single" w:sz="8" w:color="auto"/>
            </w:tcBorders>
            <w:shd w:val="clear" w:color="auto" w:fill="DDDDDD"/>
          </w:tcPr>
          <w:p>
            <w:pPr>
              <w:spacing w:after="0"/>
              <w:rPr>
                <w:sz w:val="19"/>
                <w:szCs w:val="19"/>
                <w:color w:val="auto"/>
              </w:rPr>
            </w:pPr>
          </w:p>
        </w:tc>
        <w:tc>
          <w:tcPr>
            <w:tcW w:w="1300" w:type="dxa"/>
            <w:vAlign w:val="bottom"/>
            <w:tcBorders>
              <w:bottom w:val="single" w:sz="8" w:color="auto"/>
            </w:tcBorders>
            <w:shd w:val="clear" w:color="auto" w:fill="DDDDDD"/>
          </w:tcPr>
          <w:p>
            <w:pPr>
              <w:spacing w:after="0"/>
              <w:rPr>
                <w:sz w:val="19"/>
                <w:szCs w:val="19"/>
                <w:color w:val="auto"/>
              </w:rPr>
            </w:pPr>
          </w:p>
        </w:tc>
        <w:tc>
          <w:tcPr>
            <w:tcW w:w="100" w:type="dxa"/>
            <w:vAlign w:val="bottom"/>
            <w:tcBorders>
              <w:bottom w:val="single" w:sz="8" w:color="auto"/>
            </w:tcBorders>
            <w:shd w:val="clear" w:color="auto" w:fill="DDDDDD"/>
          </w:tcPr>
          <w:p>
            <w:pPr>
              <w:spacing w:after="0"/>
              <w:rPr>
                <w:sz w:val="19"/>
                <w:szCs w:val="19"/>
                <w:color w:val="auto"/>
              </w:rPr>
            </w:pPr>
          </w:p>
        </w:tc>
        <w:tc>
          <w:tcPr>
            <w:tcW w:w="220" w:type="dxa"/>
            <w:vAlign w:val="bottom"/>
            <w:tcBorders>
              <w:bottom w:val="single" w:sz="8" w:color="auto"/>
            </w:tcBorders>
            <w:shd w:val="clear" w:color="auto" w:fill="DDDDDD"/>
          </w:tcPr>
          <w:p>
            <w:pPr>
              <w:spacing w:after="0"/>
              <w:rPr>
                <w:sz w:val="19"/>
                <w:szCs w:val="19"/>
                <w:color w:val="auto"/>
              </w:rPr>
            </w:pPr>
          </w:p>
        </w:tc>
        <w:tc>
          <w:tcPr>
            <w:tcW w:w="1300" w:type="dxa"/>
            <w:vAlign w:val="bottom"/>
            <w:tcBorders>
              <w:bottom w:val="single" w:sz="8" w:color="auto"/>
            </w:tcBorders>
            <w:shd w:val="clear" w:color="auto" w:fill="DDDDDD"/>
          </w:tcPr>
          <w:p>
            <w:pPr>
              <w:spacing w:after="0"/>
              <w:rPr>
                <w:sz w:val="19"/>
                <w:szCs w:val="19"/>
                <w:color w:val="auto"/>
              </w:rPr>
            </w:pPr>
          </w:p>
        </w:tc>
        <w:tc>
          <w:tcPr>
            <w:tcW w:w="100" w:type="dxa"/>
            <w:vAlign w:val="bottom"/>
            <w:tcBorders>
              <w:bottom w:val="single" w:sz="8" w:color="auto"/>
            </w:tcBorders>
            <w:shd w:val="clear" w:color="auto" w:fill="DDDDDD"/>
          </w:tcPr>
          <w:p>
            <w:pPr>
              <w:spacing w:after="0"/>
              <w:rPr>
                <w:sz w:val="19"/>
                <w:szCs w:val="19"/>
                <w:color w:val="auto"/>
              </w:rPr>
            </w:pPr>
          </w:p>
        </w:tc>
        <w:tc>
          <w:tcPr>
            <w:tcW w:w="20" w:type="dxa"/>
            <w:vAlign w:val="bottom"/>
            <w:tcBorders>
              <w:bottom w:val="single" w:sz="8" w:color="auto"/>
            </w:tcBorders>
            <w:shd w:val="clear" w:color="auto" w:fill="DDDDDD"/>
          </w:tcPr>
          <w:p>
            <w:pPr>
              <w:spacing w:after="0"/>
              <w:rPr>
                <w:sz w:val="19"/>
                <w:szCs w:val="19"/>
                <w:color w:val="auto"/>
              </w:rPr>
            </w:pP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7560" w:type="dxa"/>
            <w:vAlign w:val="bottom"/>
            <w:shd w:val="clear" w:color="auto" w:fill="DDDDDD"/>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10,005,457</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10,005,457</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15"/>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8"/>
        </w:trPr>
        <w:tc>
          <w:tcPr>
            <w:tcW w:w="7560" w:type="dxa"/>
            <w:vAlign w:val="bottom"/>
            <w:shd w:val="clear" w:color="auto" w:fill="DDDDDD"/>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31,938</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31,938</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-4499610</wp:posOffset>
                </wp:positionV>
                <wp:extent cx="685800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354.2999pt" to="540.2pt,-354.2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-3380105</wp:posOffset>
                </wp:positionV>
                <wp:extent cx="685800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266.1499pt" to="540.2pt,-266.1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-2696210</wp:posOffset>
                </wp:positionV>
                <wp:extent cx="685800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212.2999pt" to="540.2pt,-212.29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-2261870</wp:posOffset>
                </wp:positionV>
                <wp:extent cx="685800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78.0999pt" to="540.2pt,-178.0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-1565910</wp:posOffset>
                </wp:positionV>
                <wp:extent cx="685800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3716">
                          <a:solidFill>
                            <a:srgbClr val="FFFFFF"/>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23.2999pt" to="540.2pt,-123.2999pt" o:allowincell="f" strokecolor="#FFFFFF" strokeweight="1.08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-547370</wp:posOffset>
                </wp:positionV>
                <wp:extent cx="685800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6">
                          <a:solidFill>
                            <a:srgbClr val="FFFFFF"/>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43.0999pt" to="540.2pt,-43.0999pt" o:allowincell="f" strokecolor="#FFFFFF" strokeweight="0.1398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-139065</wp:posOffset>
                </wp:positionV>
                <wp:extent cx="685800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0.9499pt" to="540.2pt,-10.9499pt" o:allowincell="f" strokecolor="#FFFFFF" strokeweight="0.24pt"/>
            </w:pict>
          </mc:Fallback>
        </mc:AlternateConten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800"/>
          </w:cols>
          <w:pgMar w:left="720" w:top="1062" w:right="720" w:bottom="135"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20"/>
          <w:szCs w:val="20"/>
          <w:b w:val="1"/>
          <w:bCs w:val="1"/>
          <w:color w:val="auto"/>
        </w:rPr>
        <w:t>BIMINI CAPITAL MANAGEMENT,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EQUITY</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Years Ended December 31, 2025 and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850" w:type="dxa"/>
            <w:vAlign w:val="bottom"/>
            <w:tcBorders>
              <w:top w:val="single" w:sz="8" w:color="auto"/>
            </w:tcBorders>
          </w:tcPr>
          <w:p>
            <w:pPr>
              <w:spacing w:after="0"/>
              <w:rPr>
                <w:sz w:val="20"/>
                <w:szCs w:val="20"/>
                <w:color w:val="auto"/>
              </w:rPr>
            </w:pPr>
          </w:p>
        </w:tc>
        <w:tc>
          <w:tcPr>
            <w:tcW w:w="50" w:type="dxa"/>
            <w:vAlign w:val="bottom"/>
            <w:tcBorders>
              <w:top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90" w:type="dxa"/>
            <w:vAlign w:val="bottom"/>
            <w:tcBorders>
              <w:top w:val="single" w:sz="8" w:color="auto"/>
              <w:bottom w:val="single" w:sz="8" w:color="auto"/>
            </w:tcBorders>
          </w:tcPr>
          <w:p>
            <w:pPr>
              <w:spacing w:after="0"/>
              <w:rPr>
                <w:sz w:val="20"/>
                <w:szCs w:val="20"/>
                <w:color w:val="auto"/>
              </w:rPr>
            </w:pPr>
          </w:p>
        </w:tc>
        <w:tc>
          <w:tcPr>
            <w:tcW w:w="3530" w:type="dxa"/>
            <w:vAlign w:val="bottom"/>
            <w:tcBorders>
              <w:top w:val="single" w:sz="8" w:color="auto"/>
              <w:bottom w:val="single" w:sz="8" w:color="auto"/>
            </w:tcBorders>
            <w:gridSpan w:val="6"/>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4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r>
      <w:tr>
        <w:trPr>
          <w:trHeight w:val="209"/>
        </w:trPr>
        <w:tc>
          <w:tcPr>
            <w:tcW w:w="385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670" w:type="dxa"/>
            <w:vAlign w:val="bottom"/>
            <w:tcBorders>
              <w:bottom w:val="single" w:sz="8" w:color="auto"/>
            </w:tcBorders>
          </w:tcPr>
          <w:p>
            <w:pPr>
              <w:spacing w:after="0"/>
              <w:rPr>
                <w:sz w:val="18"/>
                <w:szCs w:val="18"/>
                <w:color w:val="auto"/>
              </w:rPr>
            </w:pPr>
          </w:p>
        </w:tc>
        <w:tc>
          <w:tcPr>
            <w:tcW w:w="43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2"/>
        </w:trPr>
        <w:tc>
          <w:tcPr>
            <w:tcW w:w="3850" w:type="dxa"/>
            <w:vAlign w:val="bottom"/>
          </w:tcPr>
          <w:p>
            <w:pPr>
              <w:spacing w:after="0"/>
              <w:rPr>
                <w:sz w:val="16"/>
                <w:szCs w:val="16"/>
                <w:color w:val="auto"/>
              </w:rPr>
            </w:pPr>
          </w:p>
        </w:tc>
        <w:tc>
          <w:tcPr>
            <w:tcW w:w="5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1350" w:type="dxa"/>
            <w:vAlign w:val="bottom"/>
          </w:tcPr>
          <w:p>
            <w:pPr>
              <w:jc w:val="center"/>
              <w:ind w:left="460"/>
              <w:spacing w:after="0" w:line="193" w:lineRule="exact"/>
              <w:rPr>
                <w:sz w:val="20"/>
                <w:szCs w:val="20"/>
                <w:color w:val="auto"/>
              </w:rPr>
            </w:pPr>
            <w:r>
              <w:rPr>
                <w:rFonts w:ascii="Times New Roman" w:cs="Times New Roman" w:eastAsia="Times New Roman" w:hAnsi="Times New Roman"/>
                <w:sz w:val="18"/>
                <w:szCs w:val="18"/>
                <w:b w:val="1"/>
                <w:bCs w:val="1"/>
                <w:color w:val="auto"/>
                <w:w w:val="99"/>
              </w:rPr>
              <w:t>Par</w:t>
            </w:r>
          </w:p>
        </w:tc>
        <w:tc>
          <w:tcPr>
            <w:tcW w:w="670" w:type="dxa"/>
            <w:vAlign w:val="bottom"/>
          </w:tcPr>
          <w:p>
            <w:pPr>
              <w:spacing w:after="0"/>
              <w:rPr>
                <w:sz w:val="16"/>
                <w:szCs w:val="16"/>
                <w:color w:val="auto"/>
              </w:rPr>
            </w:pPr>
          </w:p>
        </w:tc>
        <w:tc>
          <w:tcPr>
            <w:tcW w:w="43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150"/>
              <w:spacing w:after="0" w:line="193" w:lineRule="exact"/>
              <w:rPr>
                <w:sz w:val="20"/>
                <w:szCs w:val="20"/>
                <w:color w:val="auto"/>
              </w:rPr>
            </w:pPr>
            <w:r>
              <w:rPr>
                <w:rFonts w:ascii="Times New Roman" w:cs="Times New Roman" w:eastAsia="Times New Roman" w:hAnsi="Times New Roman"/>
                <w:sz w:val="18"/>
                <w:szCs w:val="18"/>
                <w:b w:val="1"/>
                <w:bCs w:val="1"/>
                <w:color w:val="auto"/>
              </w:rPr>
              <w:t>Paid-in</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3"/>
          </w:tcPr>
          <w:p>
            <w:pPr>
              <w:ind w:left="20"/>
              <w:spacing w:after="0" w:line="193"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0"/>
        </w:trPr>
        <w:tc>
          <w:tcPr>
            <w:tcW w:w="3850" w:type="dxa"/>
            <w:vAlign w:val="bottom"/>
            <w:tcBorders>
              <w:bottom w:val="single" w:sz="8" w:color="auto"/>
            </w:tcBorders>
          </w:tcPr>
          <w:p>
            <w:pPr>
              <w:spacing w:after="0"/>
              <w:rPr>
                <w:sz w:val="22"/>
                <w:szCs w:val="22"/>
                <w:color w:val="auto"/>
              </w:rPr>
            </w:pPr>
          </w:p>
        </w:tc>
        <w:tc>
          <w:tcPr>
            <w:tcW w:w="5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90" w:type="dxa"/>
            <w:vAlign w:val="bottom"/>
            <w:tcBorders>
              <w:bottom w:val="single" w:sz="8" w:color="auto"/>
            </w:tcBorders>
          </w:tcPr>
          <w:p>
            <w:pPr>
              <w:spacing w:after="0"/>
              <w:rPr>
                <w:sz w:val="22"/>
                <w:szCs w:val="22"/>
                <w:color w:val="auto"/>
              </w:rPr>
            </w:pPr>
          </w:p>
        </w:tc>
        <w:tc>
          <w:tcPr>
            <w:tcW w:w="1350" w:type="dxa"/>
            <w:vAlign w:val="bottom"/>
            <w:tcBorders>
              <w:bottom w:val="single" w:sz="8" w:color="auto"/>
            </w:tcBorders>
          </w:tcPr>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670" w:type="dxa"/>
            <w:vAlign w:val="bottom"/>
            <w:tcBorders>
              <w:bottom w:val="single" w:sz="8" w:color="auto"/>
            </w:tcBorders>
          </w:tcPr>
          <w:p>
            <w:pPr>
              <w:spacing w:after="0"/>
              <w:rPr>
                <w:sz w:val="22"/>
                <w:szCs w:val="22"/>
                <w:color w:val="auto"/>
              </w:rPr>
            </w:pPr>
          </w:p>
        </w:tc>
        <w:tc>
          <w:tcPr>
            <w:tcW w:w="43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82"/>
        </w:trPr>
        <w:tc>
          <w:tcPr>
            <w:tcW w:w="385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rPr>
              <w:t>Balances, January 1, 2024</w:t>
            </w:r>
          </w:p>
        </w:tc>
        <w:tc>
          <w:tcPr>
            <w:tcW w:w="50" w:type="dxa"/>
            <w:vAlign w:val="bottom"/>
            <w:tcBorders>
              <w:top w:val="single" w:sz="8" w:color="DDDDDD"/>
              <w:bottom w:val="single" w:sz="8" w:color="DDDDDD"/>
            </w:tcBorders>
            <w:shd w:val="clear" w:color="auto" w:fill="DDDDDD"/>
          </w:tcPr>
          <w:p>
            <w:pPr>
              <w:spacing w:after="0"/>
              <w:rPr>
                <w:sz w:val="15"/>
                <w:szCs w:val="15"/>
                <w:color w:val="auto"/>
              </w:rPr>
            </w:pPr>
          </w:p>
        </w:tc>
        <w:tc>
          <w:tcPr>
            <w:tcW w:w="60" w:type="dxa"/>
            <w:vAlign w:val="bottom"/>
            <w:tcBorders>
              <w:top w:val="single" w:sz="8" w:color="DDDDDD"/>
              <w:bottom w:val="single" w:sz="8" w:color="DDDDDD"/>
            </w:tcBorders>
            <w:shd w:val="clear" w:color="auto" w:fill="DDDDDD"/>
          </w:tcPr>
          <w:p>
            <w:pPr>
              <w:spacing w:after="0"/>
              <w:rPr>
                <w:sz w:val="15"/>
                <w:szCs w:val="15"/>
                <w:color w:val="auto"/>
              </w:rPr>
            </w:pPr>
          </w:p>
        </w:tc>
        <w:tc>
          <w:tcPr>
            <w:tcW w:w="82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98"/>
              </w:rPr>
              <w:t>10,069,333</w:t>
            </w:r>
          </w:p>
        </w:tc>
        <w:tc>
          <w:tcPr>
            <w:tcW w:w="60" w:type="dxa"/>
            <w:vAlign w:val="bottom"/>
            <w:tcBorders>
              <w:top w:val="single" w:sz="8" w:color="DDDDDD"/>
              <w:bottom w:val="single" w:sz="8" w:color="DDDDDD"/>
            </w:tcBorders>
            <w:shd w:val="clear" w:color="auto" w:fill="DDDDDD"/>
          </w:tcPr>
          <w:p>
            <w:pPr>
              <w:spacing w:after="0"/>
              <w:rPr>
                <w:sz w:val="15"/>
                <w:szCs w:val="15"/>
                <w:color w:val="auto"/>
              </w:rPr>
            </w:pPr>
          </w:p>
        </w:tc>
        <w:tc>
          <w:tcPr>
            <w:tcW w:w="60" w:type="dxa"/>
            <w:vAlign w:val="bottom"/>
            <w:tcBorders>
              <w:top w:val="single" w:sz="8" w:color="DDDDDD"/>
              <w:bottom w:val="single" w:sz="8" w:color="DDDDDD"/>
            </w:tcBorders>
            <w:shd w:val="clear" w:color="auto" w:fill="DDDDDD"/>
          </w:tcPr>
          <w:p>
            <w:pPr>
              <w:spacing w:after="0"/>
              <w:rPr>
                <w:sz w:val="15"/>
                <w:szCs w:val="15"/>
                <w:color w:val="auto"/>
              </w:rPr>
            </w:pPr>
          </w:p>
        </w:tc>
        <w:tc>
          <w:tcPr>
            <w:tcW w:w="9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50" w:type="dxa"/>
            <w:vAlign w:val="bottom"/>
            <w:tcBorders>
              <w:top w:val="single" w:sz="8" w:color="DDDDDD"/>
              <w:bottom w:val="single" w:sz="8" w:color="DDDDDD"/>
            </w:tcBorders>
            <w:shd w:val="clear" w:color="auto" w:fill="DDDDDD"/>
          </w:tcPr>
          <w:p>
            <w:pPr>
              <w:spacing w:after="0"/>
              <w:rPr>
                <w:sz w:val="15"/>
                <w:szCs w:val="15"/>
                <w:color w:val="auto"/>
              </w:rPr>
            </w:pPr>
          </w:p>
        </w:tc>
        <w:tc>
          <w:tcPr>
            <w:tcW w:w="67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10,069</w:t>
            </w:r>
          </w:p>
        </w:tc>
        <w:tc>
          <w:tcPr>
            <w:tcW w:w="430" w:type="dxa"/>
            <w:vAlign w:val="bottom"/>
            <w:tcBorders>
              <w:top w:val="single" w:sz="8" w:color="DDDDDD"/>
              <w:bottom w:val="single" w:sz="8" w:color="DDDDDD"/>
            </w:tcBorders>
            <w:shd w:val="clear" w:color="auto" w:fill="DDDDDD"/>
          </w:tcPr>
          <w:p>
            <w:pPr>
              <w:spacing w:after="0"/>
              <w:rPr>
                <w:sz w:val="15"/>
                <w:szCs w:val="15"/>
                <w:color w:val="auto"/>
              </w:rPr>
            </w:pPr>
          </w:p>
        </w:tc>
        <w:tc>
          <w:tcPr>
            <w:tcW w:w="6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2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97"/>
              </w:rPr>
              <w:t>329,815,150</w:t>
            </w:r>
          </w:p>
        </w:tc>
        <w:tc>
          <w:tcPr>
            <w:tcW w:w="40" w:type="dxa"/>
            <w:vAlign w:val="bottom"/>
            <w:tcBorders>
              <w:top w:val="single" w:sz="8" w:color="DDDDDD"/>
              <w:bottom w:val="single" w:sz="8" w:color="DDDDDD"/>
            </w:tcBorders>
            <w:shd w:val="clear" w:color="auto" w:fill="DDDDDD"/>
          </w:tcPr>
          <w:p>
            <w:pPr>
              <w:spacing w:after="0"/>
              <w:rPr>
                <w:sz w:val="15"/>
                <w:szCs w:val="15"/>
                <w:color w:val="auto"/>
              </w:rPr>
            </w:pPr>
          </w:p>
        </w:tc>
        <w:tc>
          <w:tcPr>
            <w:tcW w:w="6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97"/>
              </w:rPr>
              <w:t>(321,697,478</w:t>
            </w:r>
          </w:p>
        </w:tc>
        <w:tc>
          <w:tcPr>
            <w:tcW w:w="6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highlight w:val="lightGray"/>
                <w:w w:val="74"/>
              </w:rPr>
              <w:t>)</w:t>
            </w:r>
          </w:p>
        </w:tc>
        <w:tc>
          <w:tcPr>
            <w:tcW w:w="60" w:type="dxa"/>
            <w:vAlign w:val="bottom"/>
            <w:tcBorders>
              <w:top w:val="single" w:sz="8" w:color="DDDDDD"/>
              <w:bottom w:val="single" w:sz="8" w:color="DDDDDD"/>
            </w:tcBorders>
            <w:shd w:val="clear" w:color="auto" w:fill="DDDDDD"/>
          </w:tcPr>
          <w:p>
            <w:pPr>
              <w:spacing w:after="0"/>
              <w:rPr>
                <w:sz w:val="15"/>
                <w:szCs w:val="15"/>
                <w:color w:val="auto"/>
              </w:rPr>
            </w:pPr>
          </w:p>
        </w:tc>
        <w:tc>
          <w:tcPr>
            <w:tcW w:w="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84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rPr>
              <w:t>8,127,741</w:t>
            </w:r>
          </w:p>
        </w:tc>
        <w:tc>
          <w:tcPr>
            <w:tcW w:w="60" w:type="dxa"/>
            <w:vAlign w:val="bottom"/>
            <w:tcBorders>
              <w:top w:val="single" w:sz="8" w:color="DDDDDD"/>
              <w:bottom w:val="single" w:sz="8" w:color="DDDDDD"/>
            </w:tcBorders>
            <w:shd w:val="clear" w:color="auto" w:fill="DDDDDD"/>
          </w:tcPr>
          <w:p>
            <w:pPr>
              <w:spacing w:after="0"/>
              <w:rPr>
                <w:sz w:val="15"/>
                <w:szCs w:val="15"/>
                <w:color w:val="auto"/>
              </w:rPr>
            </w:pPr>
          </w:p>
        </w:tc>
      </w:tr>
      <w:tr>
        <w:trPr>
          <w:trHeight w:val="224"/>
        </w:trPr>
        <w:tc>
          <w:tcPr>
            <w:tcW w:w="3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350" w:type="dxa"/>
            <w:vAlign w:val="bottom"/>
          </w:tcPr>
          <w:p>
            <w:pPr>
              <w:spacing w:after="0"/>
              <w:rPr>
                <w:sz w:val="19"/>
                <w:szCs w:val="19"/>
                <w:color w:val="auto"/>
              </w:rPr>
            </w:pPr>
          </w:p>
        </w:tc>
        <w:tc>
          <w:tcPr>
            <w:tcW w:w="67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430" w:type="dxa"/>
            <w:vAlign w:val="bottom"/>
          </w:tcPr>
          <w:p>
            <w:pPr>
              <w:spacing w:after="0"/>
              <w:rPr>
                <w:sz w:val="19"/>
                <w:szCs w:val="19"/>
                <w:color w:val="auto"/>
              </w:rPr>
            </w:pPr>
          </w:p>
        </w:tc>
        <w:tc>
          <w:tcPr>
            <w:tcW w:w="10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5"/>
          </w:tcPr>
          <w:p>
            <w:pPr>
              <w:jc w:val="right"/>
              <w:spacing w:after="0" w:line="204" w:lineRule="exact"/>
              <w:rPr>
                <w:sz w:val="20"/>
                <w:szCs w:val="20"/>
                <w:color w:val="auto"/>
              </w:rPr>
            </w:pPr>
            <w:r>
              <w:rPr>
                <w:rFonts w:ascii="Times New Roman" w:cs="Times New Roman" w:eastAsia="Times New Roman" w:hAnsi="Times New Roman"/>
                <w:sz w:val="18"/>
                <w:szCs w:val="18"/>
                <w:color w:val="auto"/>
              </w:rPr>
              <w:t>(1,306,334 )</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w w:val="99"/>
              </w:rPr>
              <w:t>(1,306,334 )</w:t>
            </w:r>
          </w:p>
        </w:tc>
      </w:tr>
      <w:tr>
        <w:trPr>
          <w:trHeight w:val="182"/>
        </w:trPr>
        <w:tc>
          <w:tcPr>
            <w:tcW w:w="3850" w:type="dxa"/>
            <w:vAlign w:val="bottom"/>
            <w:tcBorders>
              <w:top w:val="single" w:sz="8" w:color="auto"/>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rPr>
              <w:t>Balances, December 31, 2024</w:t>
            </w:r>
          </w:p>
        </w:tc>
        <w:tc>
          <w:tcPr>
            <w:tcW w:w="50" w:type="dxa"/>
            <w:vAlign w:val="bottom"/>
            <w:tcBorders>
              <w:top w:val="single" w:sz="8" w:color="auto"/>
              <w:bottom w:val="single" w:sz="8" w:color="DDDDDD"/>
            </w:tcBorders>
            <w:shd w:val="clear" w:color="auto" w:fill="DDDDDD"/>
          </w:tcPr>
          <w:p>
            <w:pPr>
              <w:spacing w:after="0"/>
              <w:rPr>
                <w:sz w:val="15"/>
                <w:szCs w:val="15"/>
                <w:color w:val="auto"/>
              </w:rPr>
            </w:pPr>
          </w:p>
        </w:tc>
        <w:tc>
          <w:tcPr>
            <w:tcW w:w="60" w:type="dxa"/>
            <w:vAlign w:val="bottom"/>
            <w:tcBorders>
              <w:top w:val="single" w:sz="8" w:color="auto"/>
              <w:bottom w:val="single" w:sz="8" w:color="DDDDDD"/>
            </w:tcBorders>
            <w:shd w:val="clear" w:color="auto" w:fill="DDDDDD"/>
          </w:tcPr>
          <w:p>
            <w:pPr>
              <w:spacing w:after="0"/>
              <w:rPr>
                <w:sz w:val="15"/>
                <w:szCs w:val="15"/>
                <w:color w:val="auto"/>
              </w:rPr>
            </w:pPr>
          </w:p>
        </w:tc>
        <w:tc>
          <w:tcPr>
            <w:tcW w:w="820" w:type="dxa"/>
            <w:vAlign w:val="bottom"/>
            <w:tcBorders>
              <w:top w:val="single" w:sz="8" w:color="auto"/>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98"/>
              </w:rPr>
              <w:t>10,069,333</w:t>
            </w:r>
          </w:p>
        </w:tc>
        <w:tc>
          <w:tcPr>
            <w:tcW w:w="60" w:type="dxa"/>
            <w:vAlign w:val="bottom"/>
            <w:tcBorders>
              <w:top w:val="single" w:sz="8" w:color="auto"/>
              <w:bottom w:val="single" w:sz="8" w:color="DDDDDD"/>
            </w:tcBorders>
            <w:shd w:val="clear" w:color="auto" w:fill="DDDDDD"/>
          </w:tcPr>
          <w:p>
            <w:pPr>
              <w:spacing w:after="0"/>
              <w:rPr>
                <w:sz w:val="15"/>
                <w:szCs w:val="15"/>
                <w:color w:val="auto"/>
              </w:rPr>
            </w:pPr>
          </w:p>
        </w:tc>
        <w:tc>
          <w:tcPr>
            <w:tcW w:w="60" w:type="dxa"/>
            <w:vAlign w:val="bottom"/>
            <w:tcBorders>
              <w:top w:val="single" w:sz="8" w:color="DDDDDD"/>
              <w:bottom w:val="single" w:sz="8" w:color="DDDDDD"/>
            </w:tcBorders>
            <w:shd w:val="clear" w:color="auto" w:fill="DDDDDD"/>
          </w:tcPr>
          <w:p>
            <w:pPr>
              <w:spacing w:after="0"/>
              <w:rPr>
                <w:sz w:val="15"/>
                <w:szCs w:val="15"/>
                <w:color w:val="auto"/>
              </w:rPr>
            </w:pPr>
          </w:p>
        </w:tc>
        <w:tc>
          <w:tcPr>
            <w:tcW w:w="90" w:type="dxa"/>
            <w:vAlign w:val="bottom"/>
            <w:tcBorders>
              <w:top w:val="single" w:sz="8" w:color="auto"/>
              <w:bottom w:val="single" w:sz="8" w:color="DDDDDD"/>
            </w:tcBorders>
            <w:shd w:val="clear" w:color="auto" w:fill="DDDDDD"/>
          </w:tcPr>
          <w:p>
            <w:pPr>
              <w:spacing w:after="0"/>
              <w:rPr>
                <w:sz w:val="15"/>
                <w:szCs w:val="15"/>
                <w:color w:val="auto"/>
              </w:rPr>
            </w:pPr>
          </w:p>
        </w:tc>
        <w:tc>
          <w:tcPr>
            <w:tcW w:w="1350" w:type="dxa"/>
            <w:vAlign w:val="bottom"/>
            <w:tcBorders>
              <w:top w:val="single" w:sz="8" w:color="auto"/>
              <w:bottom w:val="single" w:sz="8" w:color="DDDDDD"/>
            </w:tcBorders>
            <w:shd w:val="clear" w:color="auto" w:fill="DDDDDD"/>
          </w:tcPr>
          <w:p>
            <w:pPr>
              <w:spacing w:after="0"/>
              <w:rPr>
                <w:sz w:val="15"/>
                <w:szCs w:val="15"/>
                <w:color w:val="auto"/>
              </w:rPr>
            </w:pPr>
          </w:p>
        </w:tc>
        <w:tc>
          <w:tcPr>
            <w:tcW w:w="670" w:type="dxa"/>
            <w:vAlign w:val="bottom"/>
            <w:tcBorders>
              <w:top w:val="single" w:sz="8" w:color="auto"/>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10,069</w:t>
            </w:r>
          </w:p>
        </w:tc>
        <w:tc>
          <w:tcPr>
            <w:tcW w:w="430" w:type="dxa"/>
            <w:vAlign w:val="bottom"/>
            <w:tcBorders>
              <w:top w:val="single" w:sz="8" w:color="auto"/>
              <w:bottom w:val="single" w:sz="8" w:color="DDDDDD"/>
            </w:tcBorders>
            <w:shd w:val="clear" w:color="auto" w:fill="DDDDDD"/>
          </w:tcPr>
          <w:p>
            <w:pPr>
              <w:spacing w:after="0"/>
              <w:rPr>
                <w:sz w:val="15"/>
                <w:szCs w:val="15"/>
                <w:color w:val="auto"/>
              </w:rPr>
            </w:pPr>
          </w:p>
        </w:tc>
        <w:tc>
          <w:tcPr>
            <w:tcW w:w="60" w:type="dxa"/>
            <w:vAlign w:val="bottom"/>
            <w:tcBorders>
              <w:top w:val="single" w:sz="8" w:color="auto"/>
              <w:bottom w:val="single" w:sz="8" w:color="DDDDDD"/>
            </w:tcBorders>
            <w:shd w:val="clear" w:color="auto" w:fill="DDDDDD"/>
          </w:tcPr>
          <w:p>
            <w:pPr>
              <w:spacing w:after="0"/>
              <w:rPr>
                <w:sz w:val="15"/>
                <w:szCs w:val="15"/>
                <w:color w:val="auto"/>
              </w:rPr>
            </w:pPr>
          </w:p>
        </w:tc>
        <w:tc>
          <w:tcPr>
            <w:tcW w:w="100" w:type="dxa"/>
            <w:vAlign w:val="bottom"/>
            <w:tcBorders>
              <w:top w:val="single" w:sz="8" w:color="auto"/>
              <w:bottom w:val="single" w:sz="8" w:color="DDDDDD"/>
            </w:tcBorders>
            <w:shd w:val="clear" w:color="auto" w:fill="DDDDDD"/>
          </w:tcPr>
          <w:p>
            <w:pPr>
              <w:spacing w:after="0"/>
              <w:rPr>
                <w:sz w:val="15"/>
                <w:szCs w:val="15"/>
                <w:color w:val="auto"/>
              </w:rPr>
            </w:pPr>
          </w:p>
        </w:tc>
        <w:tc>
          <w:tcPr>
            <w:tcW w:w="920" w:type="dxa"/>
            <w:vAlign w:val="bottom"/>
            <w:tcBorders>
              <w:top w:val="single" w:sz="8" w:color="auto"/>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97"/>
              </w:rPr>
              <w:t>329,815,150</w:t>
            </w:r>
          </w:p>
        </w:tc>
        <w:tc>
          <w:tcPr>
            <w:tcW w:w="40" w:type="dxa"/>
            <w:vAlign w:val="bottom"/>
            <w:tcBorders>
              <w:top w:val="single" w:sz="8" w:color="auto"/>
              <w:bottom w:val="single" w:sz="8" w:color="DDDDDD"/>
            </w:tcBorders>
            <w:shd w:val="clear" w:color="auto" w:fill="DDDDDD"/>
          </w:tcPr>
          <w:p>
            <w:pPr>
              <w:spacing w:after="0"/>
              <w:rPr>
                <w:sz w:val="15"/>
                <w:szCs w:val="15"/>
                <w:color w:val="auto"/>
              </w:rPr>
            </w:pPr>
          </w:p>
        </w:tc>
        <w:tc>
          <w:tcPr>
            <w:tcW w:w="6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auto"/>
              <w:bottom w:val="single" w:sz="8" w:color="DDDDDD"/>
            </w:tcBorders>
            <w:shd w:val="clear" w:color="auto" w:fill="DDDDDD"/>
          </w:tcPr>
          <w:p>
            <w:pPr>
              <w:spacing w:after="0"/>
              <w:rPr>
                <w:sz w:val="15"/>
                <w:szCs w:val="15"/>
                <w:color w:val="auto"/>
              </w:rPr>
            </w:pPr>
          </w:p>
        </w:tc>
        <w:tc>
          <w:tcPr>
            <w:tcW w:w="980" w:type="dxa"/>
            <w:vAlign w:val="bottom"/>
            <w:tcBorders>
              <w:top w:val="single" w:sz="8" w:color="auto"/>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97"/>
              </w:rPr>
              <w:t>(323,003,812</w:t>
            </w:r>
          </w:p>
        </w:tc>
        <w:tc>
          <w:tcPr>
            <w:tcW w:w="60" w:type="dxa"/>
            <w:vAlign w:val="bottom"/>
            <w:tcBorders>
              <w:top w:val="single" w:sz="8" w:color="auto"/>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highlight w:val="lightGray"/>
                <w:w w:val="74"/>
              </w:rPr>
              <w:t>)</w:t>
            </w:r>
          </w:p>
        </w:tc>
        <w:tc>
          <w:tcPr>
            <w:tcW w:w="60" w:type="dxa"/>
            <w:vAlign w:val="bottom"/>
            <w:tcBorders>
              <w:top w:val="single" w:sz="8" w:color="auto"/>
              <w:bottom w:val="single" w:sz="8" w:color="DDDDDD"/>
            </w:tcBorders>
            <w:shd w:val="clear" w:color="auto" w:fill="DDDDDD"/>
          </w:tcPr>
          <w:p>
            <w:pPr>
              <w:spacing w:after="0"/>
              <w:rPr>
                <w:sz w:val="15"/>
                <w:szCs w:val="15"/>
                <w:color w:val="auto"/>
              </w:rPr>
            </w:pPr>
          </w:p>
        </w:tc>
        <w:tc>
          <w:tcPr>
            <w:tcW w:w="80" w:type="dxa"/>
            <w:vAlign w:val="bottom"/>
            <w:tcBorders>
              <w:top w:val="single" w:sz="8" w:color="auto"/>
              <w:bottom w:val="single" w:sz="8" w:color="DDDDDD"/>
            </w:tcBorders>
            <w:shd w:val="clear" w:color="auto" w:fill="DDDDDD"/>
          </w:tcPr>
          <w:p>
            <w:pPr>
              <w:spacing w:after="0"/>
              <w:rPr>
                <w:sz w:val="15"/>
                <w:szCs w:val="15"/>
                <w:color w:val="auto"/>
              </w:rPr>
            </w:pPr>
          </w:p>
        </w:tc>
        <w:tc>
          <w:tcPr>
            <w:tcW w:w="840" w:type="dxa"/>
            <w:vAlign w:val="bottom"/>
            <w:tcBorders>
              <w:top w:val="single" w:sz="8" w:color="auto"/>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rPr>
              <w:t>6,821,407</w:t>
            </w:r>
          </w:p>
        </w:tc>
        <w:tc>
          <w:tcPr>
            <w:tcW w:w="60" w:type="dxa"/>
            <w:vAlign w:val="bottom"/>
            <w:tcBorders>
              <w:top w:val="single" w:sz="8" w:color="auto"/>
              <w:bottom w:val="single" w:sz="8" w:color="DDDDDD"/>
            </w:tcBorders>
            <w:shd w:val="clear" w:color="auto" w:fill="DDDDDD"/>
          </w:tcPr>
          <w:p>
            <w:pPr>
              <w:spacing w:after="0"/>
              <w:rPr>
                <w:sz w:val="15"/>
                <w:szCs w:val="15"/>
                <w:color w:val="auto"/>
              </w:rPr>
            </w:pPr>
          </w:p>
        </w:tc>
      </w:tr>
      <w:tr>
        <w:trPr>
          <w:trHeight w:val="226"/>
        </w:trPr>
        <w:tc>
          <w:tcPr>
            <w:tcW w:w="390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350" w:type="dxa"/>
            <w:vAlign w:val="bottom"/>
          </w:tcPr>
          <w:p>
            <w:pPr>
              <w:spacing w:after="0"/>
              <w:rPr>
                <w:sz w:val="19"/>
                <w:szCs w:val="19"/>
                <w:color w:val="auto"/>
              </w:rPr>
            </w:pPr>
          </w:p>
        </w:tc>
        <w:tc>
          <w:tcPr>
            <w:tcW w:w="67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430" w:type="dxa"/>
            <w:vAlign w:val="bottom"/>
          </w:tcPr>
          <w:p>
            <w:pPr>
              <w:spacing w:after="0"/>
              <w:rPr>
                <w:sz w:val="19"/>
                <w:szCs w:val="19"/>
                <w:color w:val="auto"/>
              </w:rPr>
            </w:pPr>
          </w:p>
        </w:tc>
        <w:tc>
          <w:tcPr>
            <w:tcW w:w="1080" w:type="dxa"/>
            <w:vAlign w:val="bottom"/>
            <w:gridSpan w:val="3"/>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tcPr>
          <w:p>
            <w:pPr>
              <w:jc w:val="right"/>
              <w:spacing w:after="0" w:line="206" w:lineRule="exact"/>
              <w:rPr>
                <w:sz w:val="20"/>
                <w:szCs w:val="20"/>
                <w:color w:val="auto"/>
              </w:rPr>
            </w:pPr>
            <w:r>
              <w:rPr>
                <w:rFonts w:ascii="Times New Roman" w:cs="Times New Roman" w:eastAsia="Times New Roman" w:hAnsi="Times New Roman"/>
                <w:sz w:val="18"/>
                <w:szCs w:val="18"/>
                <w:color w:val="auto"/>
              </w:rPr>
              <w:t>5,801,390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5,801,390</w:t>
            </w:r>
          </w:p>
        </w:tc>
        <w:tc>
          <w:tcPr>
            <w:tcW w:w="60" w:type="dxa"/>
            <w:vAlign w:val="bottom"/>
          </w:tcPr>
          <w:p>
            <w:pPr>
              <w:spacing w:after="0"/>
              <w:rPr>
                <w:sz w:val="19"/>
                <w:szCs w:val="19"/>
                <w:color w:val="auto"/>
              </w:rPr>
            </w:pPr>
          </w:p>
        </w:tc>
      </w:tr>
      <w:tr>
        <w:trPr>
          <w:trHeight w:val="209"/>
        </w:trPr>
        <w:tc>
          <w:tcPr>
            <w:tcW w:w="3850" w:type="dxa"/>
            <w:vAlign w:val="bottom"/>
            <w:tcBorders>
              <w:top w:val="single" w:sz="8" w:color="auto"/>
              <w:bottom w:val="single" w:sz="8" w:color="DDDDDD"/>
            </w:tcBorders>
            <w:shd w:val="clear" w:color="auto" w:fill="DDDDDD"/>
          </w:tcPr>
          <w:p>
            <w:pPr>
              <w:spacing w:after="0" w:line="181" w:lineRule="exact"/>
              <w:rPr>
                <w:sz w:val="20"/>
                <w:szCs w:val="20"/>
                <w:color w:val="auto"/>
              </w:rPr>
            </w:pPr>
            <w:r>
              <w:rPr>
                <w:rFonts w:ascii="Times New Roman" w:cs="Times New Roman" w:eastAsia="Times New Roman" w:hAnsi="Times New Roman"/>
                <w:sz w:val="18"/>
                <w:szCs w:val="18"/>
                <w:color w:val="auto"/>
              </w:rPr>
              <w:t>Balances, December 31, 2025</w:t>
            </w:r>
          </w:p>
        </w:tc>
        <w:tc>
          <w:tcPr>
            <w:tcW w:w="50" w:type="dxa"/>
            <w:vAlign w:val="bottom"/>
            <w:tcBorders>
              <w:top w:val="single" w:sz="8" w:color="auto"/>
              <w:bottom w:val="single" w:sz="8" w:color="DDDDDD"/>
            </w:tcBorders>
            <w:shd w:val="clear" w:color="auto" w:fill="DDDDDD"/>
          </w:tcPr>
          <w:p>
            <w:pPr>
              <w:spacing w:after="0"/>
              <w:rPr>
                <w:sz w:val="17"/>
                <w:szCs w:val="17"/>
                <w:color w:val="auto"/>
              </w:rPr>
            </w:pPr>
          </w:p>
        </w:tc>
        <w:tc>
          <w:tcPr>
            <w:tcW w:w="60" w:type="dxa"/>
            <w:vAlign w:val="bottom"/>
            <w:tcBorders>
              <w:top w:val="single" w:sz="8" w:color="auto"/>
              <w:bottom w:val="single" w:sz="8" w:color="DDDDDD"/>
            </w:tcBorders>
            <w:shd w:val="clear" w:color="auto" w:fill="DDDDDD"/>
          </w:tcPr>
          <w:p>
            <w:pPr>
              <w:spacing w:after="0"/>
              <w:rPr>
                <w:sz w:val="17"/>
                <w:szCs w:val="17"/>
                <w:color w:val="auto"/>
              </w:rPr>
            </w:pPr>
          </w:p>
        </w:tc>
        <w:tc>
          <w:tcPr>
            <w:tcW w:w="820" w:type="dxa"/>
            <w:vAlign w:val="bottom"/>
            <w:tcBorders>
              <w:top w:val="single" w:sz="8" w:color="auto"/>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highlight w:val="lightGray"/>
                <w:w w:val="98"/>
              </w:rPr>
              <w:t>10,069,333</w:t>
            </w:r>
          </w:p>
        </w:tc>
        <w:tc>
          <w:tcPr>
            <w:tcW w:w="60" w:type="dxa"/>
            <w:vAlign w:val="bottom"/>
            <w:tcBorders>
              <w:top w:val="single" w:sz="8" w:color="auto"/>
              <w:bottom w:val="single" w:sz="8" w:color="DDDDDD"/>
            </w:tcBorders>
            <w:shd w:val="clear" w:color="auto" w:fill="DDDDDD"/>
          </w:tcPr>
          <w:p>
            <w:pPr>
              <w:spacing w:after="0"/>
              <w:rPr>
                <w:sz w:val="17"/>
                <w:szCs w:val="17"/>
                <w:color w:val="auto"/>
              </w:rPr>
            </w:pPr>
          </w:p>
        </w:tc>
        <w:tc>
          <w:tcPr>
            <w:tcW w:w="60" w:type="dxa"/>
            <w:vAlign w:val="bottom"/>
            <w:tcBorders>
              <w:top w:val="single" w:sz="8" w:color="DDDDDD"/>
              <w:bottom w:val="single" w:sz="8" w:color="DDDDDD"/>
            </w:tcBorders>
            <w:shd w:val="clear" w:color="auto" w:fill="DDDDDD"/>
          </w:tcPr>
          <w:p>
            <w:pPr>
              <w:spacing w:after="0"/>
              <w:rPr>
                <w:sz w:val="17"/>
                <w:szCs w:val="17"/>
                <w:color w:val="auto"/>
              </w:rPr>
            </w:pPr>
          </w:p>
        </w:tc>
        <w:tc>
          <w:tcPr>
            <w:tcW w:w="90" w:type="dxa"/>
            <w:vAlign w:val="bottom"/>
            <w:tcBorders>
              <w:top w:val="single" w:sz="8" w:color="auto"/>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50" w:type="dxa"/>
            <w:vAlign w:val="bottom"/>
            <w:tcBorders>
              <w:top w:val="single" w:sz="8" w:color="auto"/>
              <w:bottom w:val="single" w:sz="8" w:color="DDDDDD"/>
            </w:tcBorders>
            <w:shd w:val="clear" w:color="auto" w:fill="DDDDDD"/>
          </w:tcPr>
          <w:p>
            <w:pPr>
              <w:spacing w:after="0"/>
              <w:rPr>
                <w:sz w:val="17"/>
                <w:szCs w:val="17"/>
                <w:color w:val="auto"/>
              </w:rPr>
            </w:pPr>
          </w:p>
        </w:tc>
        <w:tc>
          <w:tcPr>
            <w:tcW w:w="670" w:type="dxa"/>
            <w:vAlign w:val="bottom"/>
            <w:tcBorders>
              <w:top w:val="single" w:sz="8" w:color="auto"/>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rPr>
              <w:t>10,069</w:t>
            </w:r>
          </w:p>
        </w:tc>
        <w:tc>
          <w:tcPr>
            <w:tcW w:w="430" w:type="dxa"/>
            <w:vAlign w:val="bottom"/>
            <w:tcBorders>
              <w:top w:val="single" w:sz="8" w:color="auto"/>
              <w:bottom w:val="single" w:sz="8" w:color="DDDDDD"/>
            </w:tcBorders>
            <w:shd w:val="clear" w:color="auto" w:fill="DDDDDD"/>
          </w:tcPr>
          <w:p>
            <w:pPr>
              <w:spacing w:after="0"/>
              <w:rPr>
                <w:sz w:val="17"/>
                <w:szCs w:val="17"/>
                <w:color w:val="auto"/>
              </w:rPr>
            </w:pPr>
          </w:p>
        </w:tc>
        <w:tc>
          <w:tcPr>
            <w:tcW w:w="60" w:type="dxa"/>
            <w:vAlign w:val="bottom"/>
            <w:tcBorders>
              <w:top w:val="single" w:sz="8" w:color="auto"/>
              <w:bottom w:val="single" w:sz="8" w:color="DDDDDD"/>
            </w:tcBorders>
            <w:shd w:val="clear" w:color="auto" w:fill="DDDDDD"/>
          </w:tcPr>
          <w:p>
            <w:pPr>
              <w:spacing w:after="0"/>
              <w:rPr>
                <w:sz w:val="17"/>
                <w:szCs w:val="17"/>
                <w:color w:val="auto"/>
              </w:rPr>
            </w:pPr>
          </w:p>
        </w:tc>
        <w:tc>
          <w:tcPr>
            <w:tcW w:w="100" w:type="dxa"/>
            <w:vAlign w:val="bottom"/>
            <w:tcBorders>
              <w:top w:val="single" w:sz="8" w:color="auto"/>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20" w:type="dxa"/>
            <w:vAlign w:val="bottom"/>
            <w:tcBorders>
              <w:top w:val="single" w:sz="8" w:color="auto"/>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highlight w:val="lightGray"/>
                <w:w w:val="97"/>
              </w:rPr>
              <w:t>329,815,150</w:t>
            </w:r>
          </w:p>
        </w:tc>
        <w:tc>
          <w:tcPr>
            <w:tcW w:w="40" w:type="dxa"/>
            <w:vAlign w:val="bottom"/>
            <w:tcBorders>
              <w:top w:val="single" w:sz="8" w:color="auto"/>
              <w:bottom w:val="single" w:sz="8" w:color="DDDDDD"/>
            </w:tcBorders>
            <w:shd w:val="clear" w:color="auto" w:fill="DDDDDD"/>
          </w:tcPr>
          <w:p>
            <w:pPr>
              <w:spacing w:after="0"/>
              <w:rPr>
                <w:sz w:val="17"/>
                <w:szCs w:val="17"/>
                <w:color w:val="auto"/>
              </w:rPr>
            </w:pPr>
          </w:p>
        </w:tc>
        <w:tc>
          <w:tcPr>
            <w:tcW w:w="6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auto"/>
              <w:bottom w:val="single" w:sz="8" w:color="DDDDDD"/>
            </w:tcBorders>
            <w:shd w:val="clear" w:color="auto" w:fill="DDDDDD"/>
          </w:tcPr>
          <w:p>
            <w:pPr>
              <w:spacing w:after="0" w:line="181"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auto"/>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highlight w:val="lightGray"/>
                <w:w w:val="97"/>
              </w:rPr>
              <w:t>(317,202,422</w:t>
            </w:r>
          </w:p>
        </w:tc>
        <w:tc>
          <w:tcPr>
            <w:tcW w:w="60" w:type="dxa"/>
            <w:vAlign w:val="bottom"/>
            <w:tcBorders>
              <w:top w:val="single" w:sz="8" w:color="auto"/>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6"/>
                <w:szCs w:val="16"/>
                <w:color w:val="auto"/>
                <w:highlight w:val="lightGray"/>
                <w:w w:val="74"/>
              </w:rPr>
              <w:t>)</w:t>
            </w:r>
          </w:p>
        </w:tc>
        <w:tc>
          <w:tcPr>
            <w:tcW w:w="60" w:type="dxa"/>
            <w:vAlign w:val="bottom"/>
            <w:tcBorders>
              <w:top w:val="single" w:sz="8" w:color="auto"/>
              <w:bottom w:val="single" w:sz="8" w:color="DDDDDD"/>
            </w:tcBorders>
            <w:shd w:val="clear" w:color="auto" w:fill="DDDDDD"/>
          </w:tcPr>
          <w:p>
            <w:pPr>
              <w:spacing w:after="0"/>
              <w:rPr>
                <w:sz w:val="17"/>
                <w:szCs w:val="17"/>
                <w:color w:val="auto"/>
              </w:rPr>
            </w:pPr>
          </w:p>
        </w:tc>
        <w:tc>
          <w:tcPr>
            <w:tcW w:w="80" w:type="dxa"/>
            <w:vAlign w:val="bottom"/>
            <w:tcBorders>
              <w:top w:val="single" w:sz="8" w:color="auto"/>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840" w:type="dxa"/>
            <w:vAlign w:val="bottom"/>
            <w:tcBorders>
              <w:top w:val="single" w:sz="8" w:color="auto"/>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highlight w:val="lightGray"/>
              </w:rPr>
              <w:t>12,622,797</w:t>
            </w:r>
          </w:p>
        </w:tc>
        <w:tc>
          <w:tcPr>
            <w:tcW w:w="60" w:type="dxa"/>
            <w:vAlign w:val="bottom"/>
            <w:tcBorders>
              <w:top w:val="single" w:sz="8" w:color="auto"/>
              <w:bottom w:val="single" w:sz="8" w:color="DDDDDD"/>
            </w:tcBorders>
            <w:shd w:val="clear" w:color="auto" w:fill="DDDDDD"/>
          </w:tcPr>
          <w:p>
            <w:pPr>
              <w:spacing w:after="0"/>
              <w:rPr>
                <w:sz w:val="17"/>
                <w:szCs w:val="17"/>
                <w:color w:val="auto"/>
              </w:rPr>
            </w:pPr>
          </w:p>
        </w:tc>
      </w:tr>
      <w:tr>
        <w:trPr>
          <w:trHeight w:val="20"/>
        </w:trPr>
        <w:tc>
          <w:tcPr>
            <w:tcW w:w="3850" w:type="dxa"/>
            <w:vAlign w:val="bottom"/>
            <w:tcBorders>
              <w:top w:val="single" w:sz="8" w:color="auto"/>
              <w:bottom w:val="single" w:sz="8" w:color="auto"/>
            </w:tcBorders>
          </w:tcPr>
          <w:p>
            <w:pPr>
              <w:spacing w:after="0" w:line="20" w:lineRule="exact"/>
              <w:rPr>
                <w:sz w:val="1"/>
                <w:szCs w:val="1"/>
                <w:color w:val="auto"/>
              </w:rPr>
            </w:pPr>
          </w:p>
        </w:tc>
        <w:tc>
          <w:tcPr>
            <w:tcW w:w="5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Borders>
              <w:top w:val="single" w:sz="8" w:color="auto"/>
              <w:bottom w:val="single" w:sz="8" w:color="auto"/>
            </w:tcBorders>
          </w:tcPr>
          <w:p>
            <w:pPr>
              <w:spacing w:after="0" w:line="20" w:lineRule="exact"/>
              <w:rPr>
                <w:sz w:val="1"/>
                <w:szCs w:val="1"/>
                <w:color w:val="auto"/>
              </w:rPr>
            </w:pPr>
          </w:p>
        </w:tc>
        <w:tc>
          <w:tcPr>
            <w:tcW w:w="1350" w:type="dxa"/>
            <w:vAlign w:val="bottom"/>
            <w:tcBorders>
              <w:top w:val="single" w:sz="8" w:color="auto"/>
              <w:bottom w:val="single" w:sz="8" w:color="auto"/>
            </w:tcBorders>
          </w:tcPr>
          <w:p>
            <w:pPr>
              <w:spacing w:after="0" w:line="20" w:lineRule="exact"/>
              <w:rPr>
                <w:sz w:val="1"/>
                <w:szCs w:val="1"/>
                <w:color w:val="auto"/>
              </w:rPr>
            </w:pPr>
          </w:p>
        </w:tc>
        <w:tc>
          <w:tcPr>
            <w:tcW w:w="670" w:type="dxa"/>
            <w:vAlign w:val="bottom"/>
            <w:tcBorders>
              <w:top w:val="single" w:sz="8" w:color="auto"/>
              <w:bottom w:val="single" w:sz="8" w:color="auto"/>
            </w:tcBorders>
          </w:tcPr>
          <w:p>
            <w:pPr>
              <w:spacing w:after="0" w:line="20" w:lineRule="exact"/>
              <w:rPr>
                <w:sz w:val="1"/>
                <w:szCs w:val="1"/>
                <w:color w:val="auto"/>
              </w:rPr>
            </w:pPr>
          </w:p>
        </w:tc>
        <w:tc>
          <w:tcPr>
            <w:tcW w:w="43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2479040</wp:posOffset>
                </wp:positionH>
                <wp:positionV relativeFrom="paragraph">
                  <wp:posOffset>-1170305</wp:posOffset>
                </wp:positionV>
                <wp:extent cx="371792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1792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2pt,-92.1499pt" to="487.95pt,-92.1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6196965</wp:posOffset>
                </wp:positionH>
                <wp:positionV relativeFrom="paragraph">
                  <wp:posOffset>-1174750</wp:posOffset>
                </wp:positionV>
                <wp:extent cx="66357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3575" cy="4763"/>
                        </a:xfrm>
                        <a:prstGeom prst="line">
                          <a:avLst/>
                        </a:prstGeom>
                        <a:solidFill>
                          <a:srgbClr val="FFFFFF"/>
                        </a:solidFill>
                        <a:ln w="9905">
                          <a:solidFill>
                            <a:srgbClr val="FFFFFF"/>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7.95pt,-92.4999pt" to="540.2pt,-92.4999pt" o:allowincell="f" strokecolor="#FFFFFF" strokeweight="0.7799pt"/>
            </w:pict>
          </mc:Fallback>
        </mc:AlternateContent>
        <mc:AlternateContent>
          <mc:Choice Requires="wps">
            <w:drawing>
              <wp:anchor simplePos="0" relativeHeight="251657728" behindDoc="1" locked="0" layoutInCell="0" allowOverlap="1">
                <wp:simplePos x="0" y="0"/>
                <wp:positionH relativeFrom="column">
                  <wp:posOffset>2479040</wp:posOffset>
                </wp:positionH>
                <wp:positionV relativeFrom="paragraph">
                  <wp:posOffset>-1024890</wp:posOffset>
                </wp:positionV>
                <wp:extent cx="224790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47900" cy="4763"/>
                        </a:xfrm>
                        <a:prstGeom prst="line">
                          <a:avLst/>
                        </a:prstGeom>
                        <a:solidFill>
                          <a:srgbClr val="FFFFFF"/>
                        </a:solidFill>
                        <a:ln w="1764">
                          <a:solidFill>
                            <a:srgbClr val="FFFFFF"/>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2pt,-80.6999pt" to="372.2pt,-80.6999pt" o:allowincell="f" strokecolor="#FFFFFF" strokeweight="0.1389pt"/>
            </w:pict>
          </mc:Fallback>
        </mc:AlternateContent>
        <mc:AlternateContent>
          <mc:Choice Requires="wps">
            <w:drawing>
              <wp:anchor simplePos="0" relativeHeight="251657728" behindDoc="1" locked="0" layoutInCell="0" allowOverlap="1">
                <wp:simplePos x="0" y="0"/>
                <wp:positionH relativeFrom="column">
                  <wp:posOffset>3069590</wp:posOffset>
                </wp:positionH>
                <wp:positionV relativeFrom="paragraph">
                  <wp:posOffset>-752475</wp:posOffset>
                </wp:positionV>
                <wp:extent cx="35560" cy="13335"/>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560" cy="13335"/>
                        </a:xfrm>
                        <a:prstGeom prst="rect">
                          <a:avLst/>
                        </a:prstGeom>
                        <a:solidFill>
                          <a:srgbClr val="000000"/>
                        </a:solidFill>
                      </wps:spPr>
                      <wps:bodyPr/>
                    </wps:wsp>
                  </a:graphicData>
                </a:graphic>
              </wp:anchor>
            </w:drawing>
          </mc:Choice>
          <mc:Fallback>
            <w:pict>
              <v:rect id="Shape 67" o:spid="_x0000_s1092" style="position:absolute;margin-left:241.7pt;margin-top:-59.2499pt;width:2.8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5438775</wp:posOffset>
                </wp:positionH>
                <wp:positionV relativeFrom="paragraph">
                  <wp:posOffset>-752475</wp:posOffset>
                </wp:positionV>
                <wp:extent cx="34290" cy="13335"/>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290" cy="13335"/>
                        </a:xfrm>
                        <a:prstGeom prst="rect">
                          <a:avLst/>
                        </a:prstGeom>
                        <a:solidFill>
                          <a:srgbClr val="000000"/>
                        </a:solidFill>
                      </wps:spPr>
                      <wps:bodyPr/>
                    </wps:wsp>
                  </a:graphicData>
                </a:graphic>
              </wp:anchor>
            </w:drawing>
          </mc:Choice>
          <mc:Fallback>
            <w:pict>
              <v:rect id="Shape 68" o:spid="_x0000_s1093" style="position:absolute;margin-left:428.25pt;margin-top:-59.2499pt;width:2.7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5438775</wp:posOffset>
                </wp:positionH>
                <wp:positionV relativeFrom="paragraph">
                  <wp:posOffset>-607695</wp:posOffset>
                </wp:positionV>
                <wp:extent cx="3429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290" cy="4763"/>
                        </a:xfrm>
                        <a:prstGeom prst="line">
                          <a:avLst/>
                        </a:prstGeom>
                        <a:solidFill>
                          <a:srgbClr val="FFFFFF"/>
                        </a:solidFill>
                        <a:ln w="3035">
                          <a:solidFill>
                            <a:srgbClr val="DDDDDD"/>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25pt,-47.8499pt" to="430.95pt,-47.8499pt" o:allowincell="f" strokecolor="#DDDDDD" strokeweight="0.239pt"/>
            </w:pict>
          </mc:Fallback>
        </mc:AlternateContent>
        <mc:AlternateContent>
          <mc:Choice Requires="wps">
            <w:drawing>
              <wp:anchor simplePos="0" relativeHeight="251657728" behindDoc="1" locked="0" layoutInCell="0" allowOverlap="1">
                <wp:simplePos x="0" y="0"/>
                <wp:positionH relativeFrom="column">
                  <wp:posOffset>3069590</wp:posOffset>
                </wp:positionH>
                <wp:positionV relativeFrom="paragraph">
                  <wp:posOffset>-468630</wp:posOffset>
                </wp:positionV>
                <wp:extent cx="35560" cy="1270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560" cy="12700"/>
                        </a:xfrm>
                        <a:prstGeom prst="rect">
                          <a:avLst/>
                        </a:prstGeom>
                        <a:solidFill>
                          <a:srgbClr val="000000"/>
                        </a:solidFill>
                      </wps:spPr>
                      <wps:bodyPr/>
                    </wps:wsp>
                  </a:graphicData>
                </a:graphic>
              </wp:anchor>
            </w:drawing>
          </mc:Choice>
          <mc:Fallback>
            <w:pict>
              <v:rect id="Shape 70" o:spid="_x0000_s1095" style="position:absolute;margin-left:241.7pt;margin-top:-36.8999pt;width:2.8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5438775</wp:posOffset>
                </wp:positionH>
                <wp:positionV relativeFrom="paragraph">
                  <wp:posOffset>-468630</wp:posOffset>
                </wp:positionV>
                <wp:extent cx="34290" cy="1270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290" cy="12700"/>
                        </a:xfrm>
                        <a:prstGeom prst="rect">
                          <a:avLst/>
                        </a:prstGeom>
                        <a:solidFill>
                          <a:srgbClr val="000000"/>
                        </a:solidFill>
                      </wps:spPr>
                      <wps:bodyPr/>
                    </wps:wsp>
                  </a:graphicData>
                </a:graphic>
              </wp:anchor>
            </w:drawing>
          </mc:Choice>
          <mc:Fallback>
            <w:pict>
              <v:rect id="Shape 71" o:spid="_x0000_s1096" style="position:absolute;margin-left:428.25pt;margin-top:-36.8999pt;width:2.7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5438775</wp:posOffset>
                </wp:positionH>
                <wp:positionV relativeFrom="paragraph">
                  <wp:posOffset>-324485</wp:posOffset>
                </wp:positionV>
                <wp:extent cx="3429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290" cy="4763"/>
                        </a:xfrm>
                        <a:prstGeom prst="line">
                          <a:avLst/>
                        </a:prstGeom>
                        <a:solidFill>
                          <a:srgbClr val="FFFFFF"/>
                        </a:solidFill>
                        <a:ln w="3034">
                          <a:solidFill>
                            <a:srgbClr val="DDDDDD"/>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25pt,-25.5499pt" to="430.95pt,-25.5499pt" o:allowincell="f" strokecolor="#DDDDDD" strokeweight="0.2389pt"/>
            </w:pict>
          </mc:Fallback>
        </mc:AlternateContent>
        <mc:AlternateContent>
          <mc:Choice Requires="wps">
            <w:drawing>
              <wp:anchor simplePos="0" relativeHeight="251657728" behindDoc="1" locked="0" layoutInCell="0" allowOverlap="1">
                <wp:simplePos x="0" y="0"/>
                <wp:positionH relativeFrom="column">
                  <wp:posOffset>3069590</wp:posOffset>
                </wp:positionH>
                <wp:positionV relativeFrom="paragraph">
                  <wp:posOffset>-184785</wp:posOffset>
                </wp:positionV>
                <wp:extent cx="35560" cy="13335"/>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560" cy="13335"/>
                        </a:xfrm>
                        <a:prstGeom prst="rect">
                          <a:avLst/>
                        </a:prstGeom>
                        <a:solidFill>
                          <a:srgbClr val="000000"/>
                        </a:solidFill>
                      </wps:spPr>
                      <wps:bodyPr/>
                    </wps:wsp>
                  </a:graphicData>
                </a:graphic>
              </wp:anchor>
            </w:drawing>
          </mc:Choice>
          <mc:Fallback>
            <w:pict>
              <v:rect id="Shape 73" o:spid="_x0000_s1098" style="position:absolute;margin-left:241.7pt;margin-top:-14.5499pt;width:2.8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5438775</wp:posOffset>
                </wp:positionH>
                <wp:positionV relativeFrom="paragraph">
                  <wp:posOffset>-184785</wp:posOffset>
                </wp:positionV>
                <wp:extent cx="34290" cy="13335"/>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290" cy="13335"/>
                        </a:xfrm>
                        <a:prstGeom prst="rect">
                          <a:avLst/>
                        </a:prstGeom>
                        <a:solidFill>
                          <a:srgbClr val="000000"/>
                        </a:solidFill>
                      </wps:spPr>
                      <wps:bodyPr/>
                    </wps:wsp>
                  </a:graphicData>
                </a:graphic>
              </wp:anchor>
            </w:drawing>
          </mc:Choice>
          <mc:Fallback>
            <w:pict>
              <v:rect id="Shape 74" o:spid="_x0000_s1099" style="position:absolute;margin-left:428.25pt;margin-top:-14.5499pt;width:2.7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5438775</wp:posOffset>
                </wp:positionH>
                <wp:positionV relativeFrom="paragraph">
                  <wp:posOffset>-42545</wp:posOffset>
                </wp:positionV>
                <wp:extent cx="34290" cy="1397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290" cy="13970"/>
                        </a:xfrm>
                        <a:prstGeom prst="rect">
                          <a:avLst/>
                        </a:prstGeom>
                        <a:solidFill>
                          <a:srgbClr val="DDDDDD"/>
                        </a:solidFill>
                      </wps:spPr>
                      <wps:bodyPr/>
                    </wps:wsp>
                  </a:graphicData>
                </a:graphic>
              </wp:anchor>
            </w:drawing>
          </mc:Choice>
          <mc:Fallback>
            <w:pict>
              <v:rect id="Shape 75" o:spid="_x0000_s1100" style="position:absolute;margin-left:428.25pt;margin-top:-3.3499pt;width:2.7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800"/>
          </w:cols>
          <w:pgMar w:left="720" w:top="1062" w:right="720" w:bottom="135"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20"/>
          <w:szCs w:val="20"/>
          <w:b w:val="1"/>
          <w:bCs w:val="1"/>
          <w:color w:val="auto"/>
        </w:rPr>
        <w:t>BIMINI CAPITAL MANAGEMENT,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Years Ended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5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r>
      <w:tr>
        <w:trPr>
          <w:trHeight w:val="187"/>
        </w:trPr>
        <w:tc>
          <w:tcPr>
            <w:tcW w:w="7560" w:type="dxa"/>
            <w:vAlign w:val="bottom"/>
            <w:tcBorders>
              <w:top w:val="single" w:sz="8" w:color="DDDDDD"/>
            </w:tcBorders>
            <w:shd w:val="clear" w:color="auto" w:fill="DDDDDD"/>
          </w:tcPr>
          <w:p>
            <w:pPr>
              <w:spacing w:after="0" w:line="187"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130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1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130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20" w:type="dxa"/>
            <w:vAlign w:val="bottom"/>
            <w:tcBorders>
              <w:top w:val="single" w:sz="8" w:color="auto"/>
            </w:tcBorders>
            <w:shd w:val="clear" w:color="auto" w:fill="DDDDDD"/>
          </w:tcPr>
          <w:p>
            <w:pPr>
              <w:spacing w:after="0"/>
              <w:rPr>
                <w:sz w:val="16"/>
                <w:szCs w:val="16"/>
                <w:color w:val="auto"/>
              </w:rPr>
            </w:pPr>
          </w:p>
        </w:tc>
      </w:tr>
      <w:tr>
        <w:trPr>
          <w:trHeight w:val="217"/>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5,801,390</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(1,306,334 )</w:t>
            </w:r>
          </w:p>
        </w:tc>
        <w:tc>
          <w:tcPr>
            <w:tcW w:w="20" w:type="dxa"/>
            <w:vAlign w:val="bottom"/>
          </w:tcPr>
          <w:p>
            <w:pPr>
              <w:spacing w:after="0"/>
              <w:rPr>
                <w:sz w:val="18"/>
                <w:szCs w:val="18"/>
                <w:color w:val="auto"/>
              </w:rPr>
            </w:pPr>
          </w:p>
        </w:tc>
      </w:tr>
      <w:tr>
        <w:trPr>
          <w:trHeight w:val="216"/>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17"/>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Deferred income tax (benefit) provision</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(1,308,695</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3,116,727</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15"/>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losses on mortgage-backed 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(2,687,955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0"/>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Realized losses on mortgage-backed securities</w:t>
            </w:r>
          </w:p>
        </w:tc>
        <w:tc>
          <w:tcPr>
            <w:tcW w:w="1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219,054</w:t>
            </w:r>
          </w:p>
        </w:tc>
        <w:tc>
          <w:tcPr>
            <w:tcW w:w="10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561,604</w:t>
            </w: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losses on Orchid Island Capital, Inc. common stock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15"/>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(112,980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20" w:type="dxa"/>
            <w:vAlign w:val="bottom"/>
          </w:tcPr>
          <w:p>
            <w:pPr>
              <w:spacing w:after="0"/>
              <w:rPr>
                <w:sz w:val="18"/>
                <w:szCs w:val="18"/>
                <w:color w:val="auto"/>
              </w:rPr>
            </w:pPr>
          </w:p>
        </w:tc>
      </w:tr>
      <w:tr>
        <w:trPr>
          <w:trHeight w:val="220"/>
        </w:trPr>
        <w:tc>
          <w:tcPr>
            <w:tcW w:w="7560" w:type="dxa"/>
            <w:vAlign w:val="bottom"/>
            <w:shd w:val="clear" w:color="auto" w:fill="DDDDDD"/>
          </w:tcPr>
          <w:p>
            <w:pPr>
              <w:ind w:left="360"/>
              <w:spacing w:after="0"/>
              <w:rPr>
                <w:sz w:val="20"/>
                <w:szCs w:val="20"/>
                <w:color w:val="auto"/>
              </w:rPr>
            </w:pPr>
            <w:r>
              <w:rPr>
                <w:rFonts w:ascii="Times New Roman" w:cs="Times New Roman" w:eastAsia="Times New Roman" w:hAnsi="Times New Roman"/>
                <w:sz w:val="18"/>
                <w:szCs w:val="18"/>
                <w:color w:val="auto"/>
              </w:rPr>
              <w:t>Due from affiliates</w:t>
            </w:r>
          </w:p>
        </w:tc>
        <w:tc>
          <w:tcPr>
            <w:tcW w:w="1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(493,270</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(153,990</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0" w:type="dxa"/>
            <w:vAlign w:val="bottom"/>
            <w:shd w:val="clear" w:color="auto" w:fill="DDDDDD"/>
          </w:tcPr>
          <w:p>
            <w:pPr>
              <w:spacing w:after="0"/>
              <w:rPr>
                <w:sz w:val="19"/>
                <w:szCs w:val="19"/>
                <w:color w:val="auto"/>
              </w:rPr>
            </w:pPr>
          </w:p>
        </w:tc>
      </w:tr>
      <w:tr>
        <w:trPr>
          <w:trHeight w:val="217"/>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(155,441 )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7560" w:type="dxa"/>
            <w:vAlign w:val="bottom"/>
            <w:shd w:val="clear" w:color="auto" w:fill="DDDDDD"/>
          </w:tcPr>
          <w:p>
            <w:pPr>
              <w:ind w:left="36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(174,470</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214,265</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45"/>
        </w:trPr>
        <w:tc>
          <w:tcPr>
            <w:tcW w:w="75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1,090,006</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99,971</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85"/>
        </w:trPr>
        <w:tc>
          <w:tcPr>
            <w:tcW w:w="7560" w:type="dxa"/>
            <w:vAlign w:val="bottom"/>
            <w:tcBorders>
              <w:top w:val="single" w:sz="8" w:color="DDDDDD"/>
              <w:bottom w:val="single" w:sz="8" w:color="auto"/>
            </w:tcBorders>
            <w:shd w:val="clear" w:color="auto" w:fill="DDDDDD"/>
          </w:tcPr>
          <w:p>
            <w:pPr>
              <w:spacing w:after="0" w:line="185" w:lineRule="exact"/>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1300" w:type="dxa"/>
            <w:vAlign w:val="bottom"/>
            <w:tcBorders>
              <w:top w:val="single" w:sz="8" w:color="DDDDDD"/>
              <w:bottom w:val="single" w:sz="8" w:color="auto"/>
            </w:tcBorders>
            <w:shd w:val="clear" w:color="auto" w:fill="DDDDDD"/>
          </w:tcPr>
          <w:p>
            <w:pPr>
              <w:jc w:val="right"/>
              <w:spacing w:after="0" w:line="185" w:lineRule="exact"/>
              <w:rPr>
                <w:sz w:val="20"/>
                <w:szCs w:val="20"/>
                <w:color w:val="auto"/>
              </w:rPr>
            </w:pPr>
            <w:r>
              <w:rPr>
                <w:rFonts w:ascii="Times New Roman" w:cs="Times New Roman" w:eastAsia="Times New Roman" w:hAnsi="Times New Roman"/>
                <w:sz w:val="18"/>
                <w:szCs w:val="18"/>
                <w:color w:val="auto"/>
              </w:rPr>
              <w:t>2,883,378</w:t>
            </w: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12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1300" w:type="dxa"/>
            <w:vAlign w:val="bottom"/>
            <w:tcBorders>
              <w:top w:val="single" w:sz="8" w:color="DDDDDD"/>
              <w:bottom w:val="single" w:sz="8" w:color="auto"/>
            </w:tcBorders>
            <w:shd w:val="clear" w:color="auto" w:fill="DDDDDD"/>
          </w:tcPr>
          <w:p>
            <w:pPr>
              <w:jc w:val="right"/>
              <w:spacing w:after="0" w:line="185" w:lineRule="exact"/>
              <w:rPr>
                <w:sz w:val="20"/>
                <w:szCs w:val="20"/>
                <w:color w:val="auto"/>
              </w:rPr>
            </w:pPr>
            <w:r>
              <w:rPr>
                <w:rFonts w:ascii="Times New Roman" w:cs="Times New Roman" w:eastAsia="Times New Roman" w:hAnsi="Times New Roman"/>
                <w:sz w:val="18"/>
                <w:szCs w:val="18"/>
                <w:color w:val="auto"/>
              </w:rPr>
              <w:t>3,192,162</w:t>
            </w: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20" w:type="dxa"/>
            <w:vAlign w:val="bottom"/>
            <w:tcBorders>
              <w:top w:val="single" w:sz="8" w:color="auto"/>
              <w:bottom w:val="single" w:sz="8" w:color="auto"/>
            </w:tcBorders>
            <w:shd w:val="clear" w:color="auto" w:fill="DDDDDD"/>
          </w:tcPr>
          <w:p>
            <w:pPr>
              <w:spacing w:after="0"/>
              <w:rPr>
                <w:sz w:val="16"/>
                <w:szCs w:val="16"/>
                <w:color w:val="auto"/>
              </w:rPr>
            </w:pPr>
          </w:p>
        </w:tc>
      </w:tr>
      <w:tr>
        <w:trPr>
          <w:trHeight w:val="212"/>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From mortgage-backed securities investments:</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17"/>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(90,161,778 )</w:t>
            </w:r>
          </w:p>
        </w:tc>
        <w:tc>
          <w:tcPr>
            <w:tcW w:w="20" w:type="dxa"/>
            <w:vAlign w:val="bottom"/>
          </w:tcPr>
          <w:p>
            <w:pPr>
              <w:spacing w:after="0"/>
              <w:rPr>
                <w:sz w:val="18"/>
                <w:szCs w:val="18"/>
                <w:color w:val="auto"/>
              </w:rPr>
            </w:pPr>
          </w:p>
        </w:tc>
      </w:tr>
      <w:tr>
        <w:trPr>
          <w:trHeight w:val="217"/>
        </w:trPr>
        <w:tc>
          <w:tcPr>
            <w:tcW w:w="7560" w:type="dxa"/>
            <w:vAlign w:val="bottom"/>
            <w:shd w:val="clear" w:color="auto" w:fill="DDDDDD"/>
          </w:tcPr>
          <w:p>
            <w:pPr>
              <w:ind w:left="360"/>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19,513,040</w:t>
            </w: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46,252,051</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45"/>
        </w:trPr>
        <w:tc>
          <w:tcPr>
            <w:tcW w:w="75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Principal repayments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16,375,506</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13,422,284</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88"/>
        </w:trPr>
        <w:tc>
          <w:tcPr>
            <w:tcW w:w="7560" w:type="dxa"/>
            <w:vAlign w:val="bottom"/>
            <w:tcBorders>
              <w:top w:val="single" w:sz="8" w:color="DDDDDD"/>
              <w:bottom w:val="single" w:sz="8" w:color="auto"/>
            </w:tcBorders>
            <w:shd w:val="clear" w:color="auto" w:fill="DDDDDD"/>
          </w:tcPr>
          <w:p>
            <w:pPr>
              <w:spacing w:after="0" w:line="189" w:lineRule="exact"/>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2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1300" w:type="dxa"/>
            <w:vAlign w:val="bottom"/>
            <w:tcBorders>
              <w:top w:val="single" w:sz="8" w:color="DDDDDD"/>
              <w:bottom w:val="single" w:sz="8" w:color="auto"/>
            </w:tcBorders>
            <w:shd w:val="clear" w:color="auto" w:fill="DDDDDD"/>
          </w:tcPr>
          <w:p>
            <w:pPr>
              <w:jc w:val="right"/>
              <w:spacing w:after="0" w:line="189" w:lineRule="exact"/>
              <w:rPr>
                <w:sz w:val="20"/>
                <w:szCs w:val="20"/>
                <w:color w:val="auto"/>
              </w:rPr>
            </w:pPr>
            <w:r>
              <w:rPr>
                <w:rFonts w:ascii="Times New Roman" w:cs="Times New Roman" w:eastAsia="Times New Roman" w:hAnsi="Times New Roman"/>
                <w:sz w:val="18"/>
                <w:szCs w:val="18"/>
                <w:color w:val="auto"/>
              </w:rPr>
              <w:t>35,888,546</w:t>
            </w: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12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1300" w:type="dxa"/>
            <w:vAlign w:val="bottom"/>
            <w:tcBorders>
              <w:top w:val="single" w:sz="8" w:color="DDDDDD"/>
              <w:bottom w:val="single" w:sz="8" w:color="auto"/>
            </w:tcBorders>
            <w:shd w:val="clear" w:color="auto" w:fill="DDDDDD"/>
          </w:tcPr>
          <w:p>
            <w:pPr>
              <w:jc w:val="right"/>
              <w:spacing w:after="0" w:line="189" w:lineRule="exact"/>
              <w:rPr>
                <w:sz w:val="20"/>
                <w:szCs w:val="20"/>
                <w:color w:val="auto"/>
              </w:rPr>
            </w:pPr>
            <w:r>
              <w:rPr>
                <w:rFonts w:ascii="Times New Roman" w:cs="Times New Roman" w:eastAsia="Times New Roman" w:hAnsi="Times New Roman"/>
                <w:sz w:val="18"/>
                <w:szCs w:val="18"/>
                <w:color w:val="auto"/>
              </w:rPr>
              <w:t>(30,487,443</w:t>
            </w:r>
          </w:p>
        </w:tc>
        <w:tc>
          <w:tcPr>
            <w:tcW w:w="10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0" w:type="dxa"/>
            <w:vAlign w:val="bottom"/>
            <w:tcBorders>
              <w:top w:val="single" w:sz="8" w:color="auto"/>
              <w:bottom w:val="single" w:sz="8" w:color="auto"/>
            </w:tcBorders>
            <w:shd w:val="clear" w:color="auto" w:fill="DDDDDD"/>
          </w:tcPr>
          <w:p>
            <w:pPr>
              <w:spacing w:after="0"/>
              <w:rPr>
                <w:sz w:val="16"/>
                <w:szCs w:val="16"/>
                <w:color w:val="auto"/>
              </w:rPr>
            </w:pP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Proceeds from repurchase agreements</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888,907,478</w:t>
            </w: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823,015,000</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17"/>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Principal repayments on repurchase agreements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(920,762,477 )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(792,741,000 )</w:t>
            </w:r>
          </w:p>
        </w:tc>
        <w:tc>
          <w:tcPr>
            <w:tcW w:w="20" w:type="dxa"/>
            <w:vAlign w:val="bottom"/>
          </w:tcPr>
          <w:p>
            <w:pPr>
              <w:spacing w:after="0"/>
              <w:rPr>
                <w:sz w:val="18"/>
                <w:szCs w:val="18"/>
                <w:color w:val="auto"/>
              </w:rPr>
            </w:pPr>
          </w:p>
        </w:tc>
      </w:tr>
      <w:tr>
        <w:trPr>
          <w:trHeight w:val="217"/>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Principal repayments on long-term debt</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(26,259</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0" w:type="dxa"/>
            <w:vAlign w:val="bottom"/>
            <w:shd w:val="clear" w:color="auto" w:fill="DDDDDD"/>
          </w:tcPr>
          <w:p>
            <w:pPr>
              <w:spacing w:after="0"/>
              <w:rPr>
                <w:sz w:val="18"/>
                <w:szCs w:val="18"/>
                <w:color w:val="auto"/>
              </w:rPr>
            </w:pPr>
          </w:p>
        </w:tc>
      </w:tr>
      <w:tr>
        <w:trPr>
          <w:trHeight w:val="245"/>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common shares repurchased and retired</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86"/>
        </w:trPr>
        <w:tc>
          <w:tcPr>
            <w:tcW w:w="7560" w:type="dxa"/>
            <w:vAlign w:val="bottom"/>
            <w:tcBorders>
              <w:top w:val="single" w:sz="8" w:color="DDDDDD"/>
              <w:bottom w:val="single" w:sz="8" w:color="auto"/>
            </w:tcBorders>
            <w:shd w:val="clear" w:color="auto" w:fill="DDDDDD"/>
          </w:tcPr>
          <w:p>
            <w:pPr>
              <w:spacing w:after="0" w:line="186" w:lineRule="exact"/>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2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1300" w:type="dxa"/>
            <w:vAlign w:val="bottom"/>
            <w:tcBorders>
              <w:top w:val="single" w:sz="8" w:color="DDDDDD"/>
              <w:bottom w:val="single" w:sz="8" w:color="auto"/>
            </w:tcBorders>
            <w:shd w:val="clear" w:color="auto" w:fill="DDDDDD"/>
          </w:tcPr>
          <w:p>
            <w:pPr>
              <w:jc w:val="right"/>
              <w:spacing w:after="0" w:line="186" w:lineRule="exact"/>
              <w:rPr>
                <w:sz w:val="20"/>
                <w:szCs w:val="20"/>
                <w:color w:val="auto"/>
              </w:rPr>
            </w:pPr>
            <w:r>
              <w:rPr>
                <w:rFonts w:ascii="Times New Roman" w:cs="Times New Roman" w:eastAsia="Times New Roman" w:hAnsi="Times New Roman"/>
                <w:sz w:val="18"/>
                <w:szCs w:val="18"/>
                <w:color w:val="auto"/>
              </w:rPr>
              <w:t>(31,876,611</w:t>
            </w:r>
          </w:p>
        </w:tc>
        <w:tc>
          <w:tcPr>
            <w:tcW w:w="10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1300" w:type="dxa"/>
            <w:vAlign w:val="bottom"/>
            <w:tcBorders>
              <w:top w:val="single" w:sz="8" w:color="DDDDDD"/>
              <w:bottom w:val="single" w:sz="8" w:color="auto"/>
            </w:tcBorders>
            <w:shd w:val="clear" w:color="auto" w:fill="DDDDDD"/>
          </w:tcPr>
          <w:p>
            <w:pPr>
              <w:jc w:val="right"/>
              <w:spacing w:after="0" w:line="186" w:lineRule="exact"/>
              <w:rPr>
                <w:sz w:val="20"/>
                <w:szCs w:val="20"/>
                <w:color w:val="auto"/>
              </w:rPr>
            </w:pPr>
            <w:r>
              <w:rPr>
                <w:rFonts w:ascii="Times New Roman" w:cs="Times New Roman" w:eastAsia="Times New Roman" w:hAnsi="Times New Roman"/>
                <w:sz w:val="18"/>
                <w:szCs w:val="18"/>
                <w:color w:val="auto"/>
              </w:rPr>
              <w:t>30,247,741</w:t>
            </w: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20" w:type="dxa"/>
            <w:vAlign w:val="bottom"/>
            <w:tcBorders>
              <w:top w:val="single" w:sz="8" w:color="auto"/>
              <w:bottom w:val="single" w:sz="8" w:color="auto"/>
            </w:tcBorders>
            <w:shd w:val="clear" w:color="auto" w:fill="DDDDDD"/>
          </w:tcPr>
          <w:p>
            <w:pPr>
              <w:spacing w:after="0"/>
              <w:rPr>
                <w:sz w:val="16"/>
                <w:szCs w:val="16"/>
                <w:color w:val="auto"/>
              </w:rPr>
            </w:pPr>
          </w:p>
        </w:tc>
      </w:tr>
      <w:tr>
        <w:trPr>
          <w:trHeight w:val="211"/>
        </w:trPr>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6,895,313</w:t>
            </w: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2,952,460</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45"/>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the year</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7,422,746</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4,470,286</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09"/>
        </w:trPr>
        <w:tc>
          <w:tcPr>
            <w:tcW w:w="7560" w:type="dxa"/>
            <w:vAlign w:val="bottom"/>
            <w:tcBorders>
              <w:top w:val="single" w:sz="8" w:color="DDDDDD"/>
              <w:bottom w:val="single" w:sz="8" w:color="DDDDDD"/>
            </w:tcBorders>
            <w:shd w:val="clear" w:color="auto" w:fill="DDDDDD"/>
          </w:tcPr>
          <w:p>
            <w:pPr>
              <w:spacing w:after="0" w:line="180" w:lineRule="exact"/>
              <w:rPr>
                <w:sz w:val="20"/>
                <w:szCs w:val="20"/>
                <w:color w:val="auto"/>
              </w:rPr>
            </w:pPr>
            <w:r>
              <w:rPr>
                <w:rFonts w:ascii="Times New Roman" w:cs="Times New Roman" w:eastAsia="Times New Roman" w:hAnsi="Times New Roman"/>
                <w:sz w:val="18"/>
                <w:szCs w:val="18"/>
                <w:color w:val="auto"/>
              </w:rPr>
              <w:t>CASH, CASH EQUIVALENTS AND RESTRICTED CASH, end of the year</w:t>
            </w:r>
          </w:p>
        </w:tc>
        <w:tc>
          <w:tcPr>
            <w:tcW w:w="12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0"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top w:val="single" w:sz="8" w:color="DDDDDD"/>
              <w:bottom w:val="single" w:sz="8" w:color="DDDDDD"/>
            </w:tcBorders>
            <w:shd w:val="clear" w:color="auto" w:fill="DDDDDD"/>
          </w:tcPr>
          <w:p>
            <w:pPr>
              <w:jc w:val="right"/>
              <w:spacing w:after="0" w:line="180" w:lineRule="exact"/>
              <w:rPr>
                <w:sz w:val="20"/>
                <w:szCs w:val="20"/>
                <w:color w:val="auto"/>
              </w:rPr>
            </w:pPr>
            <w:r>
              <w:rPr>
                <w:rFonts w:ascii="Times New Roman" w:cs="Times New Roman" w:eastAsia="Times New Roman" w:hAnsi="Times New Roman"/>
                <w:sz w:val="18"/>
                <w:szCs w:val="18"/>
                <w:color w:val="auto"/>
              </w:rPr>
              <w:t>14,318,059</w:t>
            </w: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12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0"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top w:val="single" w:sz="8" w:color="DDDDDD"/>
              <w:bottom w:val="single" w:sz="8" w:color="DDDDDD"/>
            </w:tcBorders>
            <w:shd w:val="clear" w:color="auto" w:fill="DDDDDD"/>
          </w:tcPr>
          <w:p>
            <w:pPr>
              <w:jc w:val="right"/>
              <w:spacing w:after="0" w:line="180" w:lineRule="exact"/>
              <w:rPr>
                <w:sz w:val="20"/>
                <w:szCs w:val="20"/>
                <w:color w:val="auto"/>
              </w:rPr>
            </w:pPr>
            <w:r>
              <w:rPr>
                <w:rFonts w:ascii="Times New Roman" w:cs="Times New Roman" w:eastAsia="Times New Roman" w:hAnsi="Times New Roman"/>
                <w:sz w:val="18"/>
                <w:szCs w:val="18"/>
                <w:color w:val="auto"/>
              </w:rPr>
              <w:t>7,422,746</w:t>
            </w: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20" w:type="dxa"/>
            <w:vAlign w:val="bottom"/>
            <w:tcBorders>
              <w:top w:val="single" w:sz="8" w:color="auto"/>
              <w:bottom w:val="single" w:sz="8" w:color="DDDDDD"/>
            </w:tcBorders>
            <w:shd w:val="clear" w:color="auto" w:fill="DDDDDD"/>
          </w:tcPr>
          <w:p>
            <w:pPr>
              <w:spacing w:after="0"/>
              <w:rPr>
                <w:sz w:val="17"/>
                <w:szCs w:val="17"/>
                <w:color w:val="auto"/>
              </w:rPr>
            </w:pPr>
          </w:p>
        </w:tc>
      </w:tr>
      <w:tr>
        <w:trPr>
          <w:trHeight w:val="20"/>
        </w:trPr>
        <w:tc>
          <w:tcPr>
            <w:tcW w:w="7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7"/>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17"/>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7560" w:type="dxa"/>
            <w:vAlign w:val="bottom"/>
            <w:shd w:val="clear" w:color="auto" w:fill="DDDDDD"/>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6,986,789</w:t>
            </w: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7,327,002</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-2830195</wp:posOffset>
                </wp:positionV>
                <wp:extent cx="685800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222.8499pt" to="540.2pt,-222.8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-1986280</wp:posOffset>
                </wp:positionV>
                <wp:extent cx="685800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56.3999pt" to="540.2pt,-156.3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-1143000</wp:posOffset>
                </wp:positionV>
                <wp:extent cx="685800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90pt" to="540.2pt,-90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-548005</wp:posOffset>
                </wp:positionV>
                <wp:extent cx="685800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43.1499pt" to="540.2pt,-43.1499pt" o:allowincell="f" strokecolor="#FFFFFF" strokeweight="0.1399pt"/>
            </w:pict>
          </mc:Fallback>
        </mc:AlternateConten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800"/>
          </w:cols>
          <w:pgMar w:left="720" w:top="1062" w:right="720" w:bottom="135" w:gutter="0" w:footer="0" w:header="0"/>
        </w:sectPr>
      </w:pPr>
    </w:p>
    <w:bookmarkStart w:id="61" w:name="page62"/>
    <w:bookmarkEnd w:id="61"/>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BIMINI CAPITAL MANAGEMENT,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ORGANIZATION AND SIGNIFICANT ACCOUNTING POLICIES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Description</w:t>
      </w:r>
    </w:p>
    <w:p>
      <w:pPr>
        <w:spacing w:after="0" w:line="234"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Bimini Capital Management, Inc., a Maryland corporation (“Bimini Capital” and collectively with its subsidiaries, the “Company”) was formed in September 2003, and is a holding company. The Company operates in two business segments through its principal wholly owned operating subsidiary, Royal Palm Capital, LLC, which includes its wholly owned subsidiary, Bimini Advisors Holdings, LLC.</w:t>
      </w:r>
    </w:p>
    <w:p>
      <w:pPr>
        <w:spacing w:after="0" w:line="184" w:lineRule="exact"/>
        <w:rPr>
          <w:sz w:val="20"/>
          <w:szCs w:val="20"/>
          <w:color w:val="auto"/>
        </w:rPr>
      </w:pPr>
    </w:p>
    <w:p>
      <w:pPr>
        <w:ind w:right="340" w:firstLine="360"/>
        <w:spacing w:after="0" w:line="259" w:lineRule="auto"/>
        <w:rPr>
          <w:sz w:val="20"/>
          <w:szCs w:val="20"/>
          <w:color w:val="auto"/>
        </w:rPr>
      </w:pPr>
      <w:r>
        <w:rPr>
          <w:rFonts w:ascii="Times New Roman" w:cs="Times New Roman" w:eastAsia="Times New Roman" w:hAnsi="Times New Roman"/>
          <w:sz w:val="20"/>
          <w:szCs w:val="20"/>
          <w:color w:val="auto"/>
        </w:rPr>
        <w:t>Royal Palm Capital, LLC maintains an investment portfolio, consisting primarily of residential mortgage -backed securities ("MBS") investments and shares of Orchid Island Capital, Inc. ("Orchid") common stock, for its own benefit. Royal Palm Capital, LLC and its wholly owned subsidiaries are collectively referred to as "Royal Palm."</w:t>
      </w:r>
    </w:p>
    <w:p>
      <w:pPr>
        <w:spacing w:after="0" w:line="176" w:lineRule="exact"/>
        <w:rPr>
          <w:sz w:val="20"/>
          <w:szCs w:val="20"/>
          <w:color w:val="auto"/>
        </w:rPr>
      </w:pPr>
    </w:p>
    <w:p>
      <w:pPr>
        <w:ind w:right="160" w:firstLine="360"/>
        <w:spacing w:after="0" w:line="254" w:lineRule="auto"/>
        <w:rPr>
          <w:sz w:val="20"/>
          <w:szCs w:val="20"/>
          <w:color w:val="auto"/>
        </w:rPr>
      </w:pPr>
      <w:r>
        <w:rPr>
          <w:rFonts w:ascii="Times New Roman" w:cs="Times New Roman" w:eastAsia="Times New Roman" w:hAnsi="Times New Roman"/>
          <w:sz w:val="20"/>
          <w:szCs w:val="20"/>
          <w:color w:val="auto"/>
        </w:rPr>
        <w:t>Bimini Advisors Holdings, LLC and its wholly owned subsidiary, Bimini Advisors, LLC (an investment advisor registered with the Securities and Exchange Commission), are collectively referred to as "Bimini Advisors." Bimini Advisors manages</w:t>
      </w:r>
    </w:p>
    <w:p>
      <w:pPr>
        <w:spacing w:after="0" w:line="1"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an MBS portfolio for Orchid and receives fees for providing these services. Bimini Advisors also provides certain repurchase agreement trading, clearing and administrative services to Orchid. Bimini Advisors also manages the MBS portfolio of Royal Palm.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Consolidation</w:t>
      </w:r>
    </w:p>
    <w:p>
      <w:pPr>
        <w:spacing w:after="0" w:line="2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accompanying consolidated financial statements include the accounts of Bimini Capital and its subsidiaries, as listed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inter-company accounts and transactions have been eliminated.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234" w:lineRule="exact"/>
        <w:rPr>
          <w:sz w:val="20"/>
          <w:szCs w:val="20"/>
          <w:color w:val="auto"/>
        </w:rPr>
      </w:pPr>
    </w:p>
    <w:p>
      <w:pPr>
        <w:ind w:right="240" w:firstLine="360"/>
        <w:spacing w:after="0" w:line="252" w:lineRule="auto"/>
        <w:rPr>
          <w:sz w:val="20"/>
          <w:szCs w:val="20"/>
          <w:color w:val="auto"/>
        </w:rPr>
      </w:pPr>
      <w:r>
        <w:rPr>
          <w:rFonts w:ascii="Times New Roman" w:cs="Times New Roman" w:eastAsia="Times New Roman" w:hAnsi="Times New Roman"/>
          <w:sz w:val="20"/>
          <w:szCs w:val="20"/>
          <w:color w:val="auto"/>
        </w:rPr>
        <w:t>The accompanying consolidated financial statements are prepared on the accrual basis of accounting in accordance with accounting principles generally accepted in the United States (“GAAP”). In the opinion of management, all adjustments considered necessary for a fair presentation of the Company's consolidated financial position, results of operations and cash flows have been included and are of a normal and recurring nature.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234" w:lineRule="exact"/>
        <w:rPr>
          <w:sz w:val="20"/>
          <w:szCs w:val="20"/>
          <w:color w:val="auto"/>
        </w:rPr>
      </w:pPr>
    </w:p>
    <w:p>
      <w:pPr>
        <w:ind w:right="40" w:firstLine="360"/>
        <w:spacing w:after="0" w:line="247"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significantly differ from those estimates. Significant estimates affecting the accompanying consolidated financial statements include determining the fair values of mortgage- backed securities (“MBS”), the amounts of asset valuation allowances, and the computation of the income tax provision or benefit and the deferred tax asset allowances recorded for each accounting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Reporting</w:t>
      </w:r>
    </w:p>
    <w:p>
      <w:pPr>
        <w:spacing w:after="0" w:line="234" w:lineRule="exact"/>
        <w:rPr>
          <w:sz w:val="20"/>
          <w:szCs w:val="20"/>
          <w:color w:val="auto"/>
        </w:rPr>
      </w:pPr>
    </w:p>
    <w:p>
      <w:pPr>
        <w:ind w:right="60" w:firstLine="500"/>
        <w:spacing w:after="0" w:line="249" w:lineRule="auto"/>
        <w:rPr>
          <w:sz w:val="20"/>
          <w:szCs w:val="20"/>
          <w:color w:val="auto"/>
        </w:rPr>
      </w:pPr>
      <w:r>
        <w:rPr>
          <w:rFonts w:ascii="Times New Roman" w:cs="Times New Roman" w:eastAsia="Times New Roman" w:hAnsi="Times New Roman"/>
          <w:sz w:val="20"/>
          <w:szCs w:val="20"/>
          <w:color w:val="auto"/>
        </w:rPr>
        <w:t>The Company’s operations are classified into two reportable segments: the asset management segment and the investment portfolio segment. These segments are evaluated by management in deciding how to allocate resources and in assessing performance. The accounting policies of the operating segments are the same as the Company’s accounting policies described in this note with the exception that inter-segment revenues and expenses are included in the presentation of segment results. For further information see Note 15.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Variable Interest Entities (VIEs)</w:t>
      </w:r>
    </w:p>
    <w:p>
      <w:pPr>
        <w:spacing w:after="0" w:line="234" w:lineRule="exact"/>
        <w:rPr>
          <w:sz w:val="20"/>
          <w:szCs w:val="20"/>
          <w:color w:val="auto"/>
        </w:rPr>
      </w:pPr>
    </w:p>
    <w:p>
      <w:pPr>
        <w:ind w:right="60" w:firstLine="360"/>
        <w:spacing w:after="0" w:line="249" w:lineRule="auto"/>
        <w:rPr>
          <w:sz w:val="20"/>
          <w:szCs w:val="20"/>
          <w:color w:val="auto"/>
        </w:rPr>
      </w:pPr>
      <w:r>
        <w:rPr>
          <w:rFonts w:ascii="Times New Roman" w:cs="Times New Roman" w:eastAsia="Times New Roman" w:hAnsi="Times New Roman"/>
          <w:sz w:val="20"/>
          <w:szCs w:val="20"/>
          <w:color w:val="auto"/>
        </w:rPr>
        <w:t>A variable interest entity ("VIE") is consolidated by an enterprise if it is deemed the primary beneficiary of the VIE. The Company obtains interests in VIEs through its investments in MBS. The interests in these VIEs are passive in nature and are not expected to result in the Company obtaining a controlling financial interest in these VIEs in the future. As a result, the Company does not consolidate these VIEs and accounts for the interest in these VIEs as MBS. See Note 3. The maximum exposure to loss for these VIEs is the carrying value of the MBS.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760"/>
          </w:cols>
          <w:pgMar w:left="720" w:top="781" w:right="760" w:bottom="135" w:gutter="0" w:footer="0" w:header="0"/>
        </w:sectPr>
      </w:pPr>
    </w:p>
    <w:bookmarkStart w:id="62" w:name="page63"/>
    <w:bookmarkEnd w:id="62"/>
    <w:p>
      <w:pPr>
        <w:ind w:firstLine="360"/>
        <w:spacing w:after="0" w:line="247" w:lineRule="auto"/>
        <w:rPr>
          <w:sz w:val="20"/>
          <w:szCs w:val="20"/>
          <w:color w:val="auto"/>
        </w:rPr>
      </w:pPr>
      <w:r>
        <w:rPr>
          <w:rFonts w:ascii="Times New Roman" w:cs="Times New Roman" w:eastAsia="Times New Roman" w:hAnsi="Times New Roman"/>
          <w:sz w:val="20"/>
          <w:szCs w:val="20"/>
          <w:color w:val="auto"/>
        </w:rPr>
        <w:t>Bimini Capital has a common share investment in a trust, Bimini Capital Trust II, ("BCTII"), used in connection with the issuance of Bimini Capital's junior subordinated notes. BCTII is a VIE, as the holders of the equity investment at risk do not have adequate decision making ability over BCTII’s activities. Bimini Capital's investment was financed directly by BCTII as a result of its loan of the proceeds to Bimini Capital, therefore that investment is not an equity investment at risk and is not a variable interest. Since Bimini Capital is not the primary beneficiary of BCTII, the Company has not consolidated the financial statements of BCTII into its consolidated financial statements, and this investment is accounted for on the equity method. See Note 9.</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and Cash Equivalents and Restricted Cash</w:t>
      </w:r>
    </w:p>
    <w:p>
      <w:pPr>
        <w:spacing w:after="0" w:line="234" w:lineRule="exact"/>
        <w:rPr>
          <w:sz w:val="20"/>
          <w:szCs w:val="20"/>
          <w:color w:val="auto"/>
        </w:rPr>
      </w:pPr>
    </w:p>
    <w:p>
      <w:pPr>
        <w:ind w:right="220" w:firstLine="360"/>
        <w:spacing w:after="0" w:line="252" w:lineRule="auto"/>
        <w:rPr>
          <w:sz w:val="20"/>
          <w:szCs w:val="20"/>
          <w:color w:val="auto"/>
        </w:rPr>
      </w:pPr>
      <w:r>
        <w:rPr>
          <w:rFonts w:ascii="Times New Roman" w:cs="Times New Roman" w:eastAsia="Times New Roman" w:hAnsi="Times New Roman"/>
          <w:sz w:val="20"/>
          <w:szCs w:val="20"/>
          <w:color w:val="auto"/>
        </w:rPr>
        <w:t>Cash and cash equivalents include cash on deposit with financial institutions and highly liquid investments with original maturities of three months or less at the time of purchase. Restricted cash includes cash pledged as collateral for repurchase agreements and margin for derivative instruments. The following table presents the Company’s cash, cash equivalents and restricted cash as of December 31, 2025 and 2024.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5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r>
      <w:tr>
        <w:trPr>
          <w:trHeight w:val="187"/>
        </w:trPr>
        <w:tc>
          <w:tcPr>
            <w:tcW w:w="7560" w:type="dxa"/>
            <w:vAlign w:val="bottom"/>
            <w:tcBorders>
              <w:top w:val="single" w:sz="8" w:color="DDDDDD"/>
            </w:tcBorders>
            <w:shd w:val="clear" w:color="auto" w:fill="DDDDDD"/>
          </w:tcPr>
          <w:p>
            <w:pPr>
              <w:spacing w:after="0" w:line="187" w:lineRule="exact"/>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12,696,660</w:t>
            </w:r>
          </w:p>
        </w:tc>
        <w:tc>
          <w:tcPr>
            <w:tcW w:w="2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5,671,347</w:t>
            </w:r>
          </w:p>
        </w:tc>
        <w:tc>
          <w:tcPr>
            <w:tcW w:w="100" w:type="dxa"/>
            <w:vAlign w:val="bottom"/>
            <w:tcBorders>
              <w:top w:val="single" w:sz="8" w:color="DDDDDD"/>
            </w:tcBorders>
            <w:shd w:val="clear" w:color="auto" w:fill="DDDDDD"/>
          </w:tcPr>
          <w:p>
            <w:pPr>
              <w:spacing w:after="0"/>
              <w:rPr>
                <w:sz w:val="16"/>
                <w:szCs w:val="16"/>
                <w:color w:val="auto"/>
              </w:rPr>
            </w:pPr>
          </w:p>
        </w:tc>
        <w:tc>
          <w:tcPr>
            <w:tcW w:w="20" w:type="dxa"/>
            <w:vAlign w:val="bottom"/>
            <w:tcBorders>
              <w:top w:val="single" w:sz="8" w:color="auto"/>
            </w:tcBorders>
            <w:shd w:val="clear" w:color="auto" w:fill="DDDDDD"/>
          </w:tcPr>
          <w:p>
            <w:pPr>
              <w:spacing w:after="0"/>
              <w:rPr>
                <w:sz w:val="16"/>
                <w:szCs w:val="16"/>
                <w:color w:val="auto"/>
              </w:rPr>
            </w:pPr>
          </w:p>
        </w:tc>
      </w:tr>
      <w:tr>
        <w:trPr>
          <w:trHeight w:val="246"/>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1,621,399</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1,751,399</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09"/>
        </w:trPr>
        <w:tc>
          <w:tcPr>
            <w:tcW w:w="7560" w:type="dxa"/>
            <w:vAlign w:val="bottom"/>
            <w:tcBorders>
              <w:top w:val="single" w:sz="8" w:color="DDDDDD"/>
              <w:bottom w:val="single" w:sz="8" w:color="DDDDDD"/>
            </w:tcBorders>
            <w:shd w:val="clear" w:color="auto" w:fill="DDDDDD"/>
          </w:tcPr>
          <w:p>
            <w:pPr>
              <w:spacing w:after="0" w:line="181" w:lineRule="exact"/>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12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rPr>
              <w:t>14,318,059</w:t>
            </w:r>
          </w:p>
        </w:tc>
        <w:tc>
          <w:tcPr>
            <w:tcW w:w="22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rPr>
              <w:t>7,422,746</w:t>
            </w: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20" w:type="dxa"/>
            <w:vAlign w:val="bottom"/>
            <w:tcBorders>
              <w:top w:val="single" w:sz="8" w:color="auto"/>
              <w:bottom w:val="single" w:sz="8" w:color="DDDDDD"/>
            </w:tcBorders>
            <w:shd w:val="clear" w:color="auto" w:fill="DDDDDD"/>
          </w:tcPr>
          <w:p>
            <w:pPr>
              <w:spacing w:after="0"/>
              <w:rPr>
                <w:sz w:val="17"/>
                <w:szCs w:val="17"/>
                <w:color w:val="auto"/>
              </w:rPr>
            </w:pPr>
          </w:p>
        </w:tc>
      </w:tr>
      <w:tr>
        <w:trPr>
          <w:trHeight w:val="20"/>
        </w:trPr>
        <w:tc>
          <w:tcPr>
            <w:tcW w:w="7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40" w:firstLine="360"/>
        <w:spacing w:after="0" w:line="249" w:lineRule="auto"/>
        <w:rPr>
          <w:sz w:val="20"/>
          <w:szCs w:val="20"/>
          <w:color w:val="auto"/>
        </w:rPr>
      </w:pPr>
      <w:r>
        <w:rPr>
          <w:rFonts w:ascii="Times New Roman" w:cs="Times New Roman" w:eastAsia="Times New Roman" w:hAnsi="Times New Roman"/>
          <w:sz w:val="20"/>
          <w:szCs w:val="20"/>
          <w:color w:val="auto"/>
        </w:rPr>
        <w:t>The Company maintains cash balances at several banks and excess margin with one exchange clearing members. At times, balances may exceed federally insured limits. The Company has not experienced any losses related to these balances. Restricted cash balances are uninsured, but are held in separate accounts that are segregated from the general funds of the counterparty. The Company limits uninsured balances to only large, well-known banks and exchange clearing members and believes that it is not exposed to significant credit risk on cash and cash equivalents or restricted cash balances.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Advisory Services</w:t>
      </w:r>
    </w:p>
    <w:p>
      <w:pPr>
        <w:spacing w:after="0" w:line="234" w:lineRule="exact"/>
        <w:rPr>
          <w:sz w:val="20"/>
          <w:szCs w:val="20"/>
          <w:color w:val="auto"/>
        </w:rPr>
      </w:pPr>
    </w:p>
    <w:p>
      <w:pPr>
        <w:ind w:right="160" w:firstLine="360"/>
        <w:spacing w:after="0" w:line="252" w:lineRule="auto"/>
        <w:rPr>
          <w:sz w:val="20"/>
          <w:szCs w:val="20"/>
          <w:color w:val="auto"/>
        </w:rPr>
      </w:pPr>
      <w:r>
        <w:rPr>
          <w:rFonts w:ascii="Times New Roman" w:cs="Times New Roman" w:eastAsia="Times New Roman" w:hAnsi="Times New Roman"/>
          <w:sz w:val="20"/>
          <w:szCs w:val="20"/>
          <w:color w:val="auto"/>
        </w:rPr>
        <w:t>Bimini Advisors manages and advises Orchid pursuant to the terms of a management agreement. See Note 2. Under the terms of the management agreement, Orchid is obligated to pay Bimini Advisors a monthly management fee and a pro rata portion of certain overhead costs and to reimburse the Company for any direct expenses incurred on its behalf. Revenues from management fees are recognized over the period of time in which the service is performed.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Mortgage-Backed Securities</w:t>
      </w:r>
    </w:p>
    <w:p>
      <w:pPr>
        <w:spacing w:after="0" w:line="234" w:lineRule="exact"/>
        <w:rPr>
          <w:sz w:val="20"/>
          <w:szCs w:val="20"/>
          <w:color w:val="auto"/>
        </w:rPr>
      </w:pPr>
    </w:p>
    <w:p>
      <w:pPr>
        <w:ind w:right="40" w:firstLine="360"/>
        <w:spacing w:after="0" w:line="246" w:lineRule="auto"/>
        <w:rPr>
          <w:sz w:val="20"/>
          <w:szCs w:val="20"/>
          <w:color w:val="auto"/>
        </w:rPr>
      </w:pPr>
      <w:r>
        <w:rPr>
          <w:rFonts w:ascii="Times New Roman" w:cs="Times New Roman" w:eastAsia="Times New Roman" w:hAnsi="Times New Roman"/>
          <w:sz w:val="20"/>
          <w:szCs w:val="20"/>
          <w:color w:val="auto"/>
        </w:rPr>
        <w:t>The Company invests primarily in pass-through (“PT”) MBS issued by Freddie Mac, Fannie Mae or Ginnie Mae, collateralized mortgage obligations (“CMOs”), interest-only (“IO”) securities and inverse interest-only (“IIO”) securities representing interest in or obligations backed by pools of mortgage-backed loans. The Company refers to MBS and CMOs as PT MBS and IO and IIO securities as structured MBS. The Company has elected to account for its investment in MBS under the fair value option. Electing the fair value option requires the Company to record changes in fair value in the consolidated statement of operations, which, in management’s view, more appropriately reflects the results of operations for a particular reporting period and is consistent with the underlying economics and how the portfolio is managed.</w:t>
      </w:r>
    </w:p>
    <w:p>
      <w:pPr>
        <w:spacing w:after="0" w:line="191"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20"/>
          <w:szCs w:val="20"/>
          <w:color w:val="auto"/>
        </w:rPr>
        <w:t>The Company records MBS transactions on the trade date. Security purchases that have not settled as of the balance sheet date are included in the MBS balance with an offsetting liability recorded, whereas securities sold that have not settled as of the balance sheet date are removed from the MBS balance with an offsetting receivable recorded.</w:t>
      </w:r>
    </w:p>
    <w:p>
      <w:pPr>
        <w:spacing w:after="0" w:line="178" w:lineRule="exact"/>
        <w:rPr>
          <w:sz w:val="20"/>
          <w:szCs w:val="20"/>
          <w:color w:val="auto"/>
        </w:rPr>
      </w:pPr>
    </w:p>
    <w:p>
      <w:pPr>
        <w:ind w:right="80" w:firstLine="360"/>
        <w:spacing w:after="0" w:line="249" w:lineRule="auto"/>
        <w:rPr>
          <w:sz w:val="20"/>
          <w:szCs w:val="20"/>
          <w:color w:val="auto"/>
        </w:rPr>
      </w:pPr>
      <w:r>
        <w:rPr>
          <w:rFonts w:ascii="Times New Roman" w:cs="Times New Roman" w:eastAsia="Times New Roman" w:hAnsi="Times New Roman"/>
          <w:sz w:val="20"/>
          <w:szCs w:val="20"/>
          <w:color w:val="auto"/>
        </w:rPr>
        <w:t>Fair value is defined as the price that would be received to sell the asset or paid to transfer the liability in an orderly transaction between market participants at the measurement date. The fair value measurement assumes that the transaction to sell the asset or transfer the liability either occurs in the principal market for the asset or liability, or in the absence of a principal market, occurs in the most advantageous market for the asset or liability. Estimated fair values for MBS are based on independent pricing sources and/or third-party broker quotes, when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800"/>
          </w:cols>
          <w:pgMar w:left="720" w:top="785" w:right="720" w:bottom="135" w:gutter="0" w:footer="0" w:header="0"/>
        </w:sectPr>
      </w:pPr>
    </w:p>
    <w:bookmarkStart w:id="63" w:name="page64"/>
    <w:bookmarkEnd w:id="63"/>
    <w:p>
      <w:pPr>
        <w:ind w:right="60" w:firstLine="360"/>
        <w:spacing w:after="0" w:line="243" w:lineRule="auto"/>
        <w:rPr>
          <w:sz w:val="20"/>
          <w:szCs w:val="20"/>
          <w:color w:val="auto"/>
        </w:rPr>
      </w:pPr>
      <w:r>
        <w:rPr>
          <w:rFonts w:ascii="Times New Roman" w:cs="Times New Roman" w:eastAsia="Times New Roman" w:hAnsi="Times New Roman"/>
          <w:sz w:val="20"/>
          <w:szCs w:val="20"/>
          <w:color w:val="auto"/>
        </w:rPr>
        <w:t>Income on PT MBS is based on the stated interest rate of the security. Premiums or discounts present at the date of purchase are not amortized. Premium loss and discount accretion resulting from monthly principal repayments are reflected in unrealized gains and losses on MBS in the consolidated statements of operations. For IO securities, the income is accrued based on the carrying value and the effective yield. The difference between income accrued and the interest received on the security is characterized as a return of investment and serves to reduce the asset’s carrying value. At each reporting date, the effective yield is adjusted prospectively for future reporting periods based on the new estimate of prepayments and the contractual terms of the security. For IIO securities, effective yield and income recognition calculations also take into account the index value applicable to the security. Changes in fair value of MBS during each reporting period are recorded in earnings and reported as unrealized gains or losses on MBS in the accompanying consolidated statements of operations. The amount reported as unrealized gains or losses on MBS thus captures the net effect of changes in the fair market value of securities caused by market developments and any premium or discount lost as a result of principal repayments during the period. Realized gains and losses on sales of MBS, using the specific identification method, are reported as a separate component of net portfolio income on the statement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Orchid Island Capital, Inc. Common Stock</w:t>
      </w:r>
    </w:p>
    <w:p>
      <w:pPr>
        <w:spacing w:after="0" w:line="234" w:lineRule="exact"/>
        <w:rPr>
          <w:sz w:val="20"/>
          <w:szCs w:val="20"/>
          <w:color w:val="auto"/>
        </w:rPr>
      </w:pPr>
    </w:p>
    <w:p>
      <w:pPr>
        <w:ind w:right="80" w:firstLine="360"/>
        <w:spacing w:after="0" w:line="252" w:lineRule="auto"/>
        <w:rPr>
          <w:sz w:val="20"/>
          <w:szCs w:val="20"/>
          <w:color w:val="auto"/>
        </w:rPr>
      </w:pPr>
      <w:r>
        <w:rPr>
          <w:rFonts w:ascii="Times New Roman" w:cs="Times New Roman" w:eastAsia="Times New Roman" w:hAnsi="Times New Roman"/>
          <w:sz w:val="20"/>
          <w:szCs w:val="20"/>
          <w:color w:val="auto"/>
        </w:rPr>
        <w:t>The Company accounts for its investment in Orchid common shares at fair value. The change in the fair value and dividends received on this investment are reflected in the consolidated statements of operations for each reporting period. We estimate the fair value of Orchid's common shares on a market approach using “Level 1” inputs based on the quoted market price of Orchid’s common stock on a national stock exchange.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Derivative Financial Instruments</w:t>
      </w:r>
    </w:p>
    <w:p>
      <w:pPr>
        <w:spacing w:after="0" w:line="235" w:lineRule="exact"/>
        <w:rPr>
          <w:sz w:val="20"/>
          <w:szCs w:val="20"/>
          <w:color w:val="auto"/>
        </w:rPr>
      </w:pPr>
    </w:p>
    <w:p>
      <w:pPr>
        <w:ind w:right="140" w:firstLine="360"/>
        <w:spacing w:after="0" w:line="249" w:lineRule="auto"/>
        <w:rPr>
          <w:sz w:val="20"/>
          <w:szCs w:val="20"/>
          <w:color w:val="auto"/>
        </w:rPr>
      </w:pPr>
      <w:r>
        <w:rPr>
          <w:rFonts w:ascii="Times New Roman" w:cs="Times New Roman" w:eastAsia="Times New Roman" w:hAnsi="Times New Roman"/>
          <w:sz w:val="20"/>
          <w:szCs w:val="20"/>
          <w:color w:val="auto"/>
        </w:rPr>
        <w:t>The Company has historically used derivative instruments to manage interest rate risk, facilitate asset/liability strategies and manage other exposures, and it may continue to do so in the future. The principal instruments that the Company has used are interest rate futures contracts, and “to-be-announced” (“TBA”) securities. The Company accounts for TBA securities as derivative instruments. Other types of derivative instruments may be used in the future. Gains and losses associated with derivative transactions are reported in gain (loss) on derivative instruments in the accompanying consolidated statements of operations.</w:t>
      </w:r>
    </w:p>
    <w:p>
      <w:pPr>
        <w:spacing w:after="0" w:line="187"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2025, the Company only held U.S. Treasury Note ("T-Note") and Secured Overnight Financing Rate ("SOFR") futures contracts. The Company recorded income (loss) of approximately $(1.9) million and $2.4 million on these instruments during the years ended December 31, 2025 and 2024, respectively.</w:t>
      </w:r>
    </w:p>
    <w:p>
      <w:pPr>
        <w:spacing w:after="0" w:line="178" w:lineRule="exact"/>
        <w:rPr>
          <w:sz w:val="20"/>
          <w:szCs w:val="20"/>
          <w:color w:val="auto"/>
        </w:rPr>
      </w:pPr>
    </w:p>
    <w:p>
      <w:pPr>
        <w:ind w:firstLine="360"/>
        <w:spacing w:after="0" w:line="244" w:lineRule="auto"/>
        <w:rPr>
          <w:sz w:val="20"/>
          <w:szCs w:val="20"/>
          <w:color w:val="auto"/>
        </w:rPr>
      </w:pPr>
      <w:r>
        <w:rPr>
          <w:rFonts w:ascii="Times New Roman" w:cs="Times New Roman" w:eastAsia="Times New Roman" w:hAnsi="Times New Roman"/>
          <w:sz w:val="20"/>
          <w:szCs w:val="20"/>
          <w:color w:val="auto"/>
        </w:rPr>
        <w:t>Derivative instruments are carried at fair value, and changes in fair value are recorded in the consolidated statements of operations for each period. The Company’s derivative financial instruments are not designated as hedge accounting relationships, but rather are used as economic hedges of its portfolio assets and liabilities. Gains and losses on derivatives, except those that result in cash receipts or payments, are included in operating activities on the statements of cash flows. Cash payments and cash receipts from settlements of derivatives, including current period net cash settlements on interest rate swaps, is classified as an investing activity on the statements of cash flows. The Company's derivative agreements generally contain provisions that allow for netting or setting off derivative assets and liabilities with the counterparty; however, related assets and liabilities are reported on a gross basis in the Company's consolidated balance sheets. Derivative instruments in a gain position, if any, are reported as derivative assets at fair value and derivative instruments in a loss position, if any, are reported as derivative liabilities at fair value in the consolidated balance sheets.</w:t>
      </w:r>
    </w:p>
    <w:p>
      <w:pPr>
        <w:spacing w:after="0" w:line="197" w:lineRule="exact"/>
        <w:rPr>
          <w:sz w:val="20"/>
          <w:szCs w:val="20"/>
          <w:color w:val="auto"/>
        </w:rPr>
      </w:pPr>
    </w:p>
    <w:p>
      <w:pPr>
        <w:ind w:firstLine="360"/>
        <w:spacing w:after="0" w:line="244" w:lineRule="auto"/>
        <w:rPr>
          <w:sz w:val="20"/>
          <w:szCs w:val="20"/>
          <w:color w:val="auto"/>
        </w:rPr>
      </w:pPr>
      <w:r>
        <w:rPr>
          <w:rFonts w:ascii="Times New Roman" w:cs="Times New Roman" w:eastAsia="Times New Roman" w:hAnsi="Times New Roman"/>
          <w:sz w:val="20"/>
          <w:szCs w:val="20"/>
          <w:color w:val="auto"/>
        </w:rPr>
        <w:t>Holding derivatives creates exposure to credit risk related to the potential for failure by counterparties to honor their commitments. In the event of default by a counterparty, the Company may have difficulty recovering its collateral and may not receive payments provided for under the terms of the agreement. The Company’s derivative agreements require it to post or receive collateral to mitigate such risk. In addition, the Company uses only registered central clearing exchanges and well-established commercial banks as counterparties, monitors positions with individual counterparties and adjusts posted collateral as required. The Company’s futures contracts are exchange traded contracts that are valued based on exchange pricing with daily margin requirements. The margin requirement varies based on the market value of the open position and the equity retained in the account. Margin posted is treated as settlement of the outstanding value of the futures contract. Any margin excess or deficit outstanding is recorded as a receivable or payable as of the date of the Company’s balance sheets. The Company realizes gains and losses on these contracts upon expiration equal to the difference between the current fair value of the underlying asset and the contractual price of the futures contract.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Instruments</w:t>
      </w:r>
    </w:p>
    <w:p>
      <w:pPr>
        <w:spacing w:after="0" w:line="234" w:lineRule="exact"/>
        <w:rPr>
          <w:sz w:val="20"/>
          <w:szCs w:val="20"/>
          <w:color w:val="auto"/>
        </w:rPr>
      </w:pPr>
    </w:p>
    <w:p>
      <w:pPr>
        <w:ind w:right="140" w:firstLine="360"/>
        <w:spacing w:after="0" w:line="278" w:lineRule="auto"/>
        <w:rPr>
          <w:sz w:val="20"/>
          <w:szCs w:val="20"/>
          <w:color w:val="auto"/>
        </w:rPr>
      </w:pPr>
      <w:r>
        <w:rPr>
          <w:rFonts w:ascii="Times New Roman" w:cs="Times New Roman" w:eastAsia="Times New Roman" w:hAnsi="Times New Roman"/>
          <w:sz w:val="19"/>
          <w:szCs w:val="19"/>
          <w:color w:val="auto"/>
        </w:rPr>
        <w:t>The fair value of financial instruments is disclosed either in the body of the consolidated financial statements or in the accompanying notes. MBS, Orchid common stock and derivative assets and liabilities are accounted for at fair value in the consolidated balance sheets. The methods and assumptions used to estimate fair value for these instruments are presented in Note 14.</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800"/>
          </w:cols>
          <w:pgMar w:left="720" w:top="785" w:right="720" w:bottom="135"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0"/>
          <w:szCs w:val="20"/>
          <w:b w:val="1"/>
          <w:bCs w:val="1"/>
          <w:color w:val="auto"/>
        </w:rPr>
        <w:t>Property and Equipment, net</w:t>
      </w:r>
    </w:p>
    <w:p>
      <w:pPr>
        <w:spacing w:after="0" w:line="235" w:lineRule="exact"/>
        <w:rPr>
          <w:sz w:val="20"/>
          <w:szCs w:val="20"/>
          <w:color w:val="auto"/>
        </w:rPr>
      </w:pPr>
    </w:p>
    <w:p>
      <w:pPr>
        <w:ind w:right="180" w:firstLine="360"/>
        <w:spacing w:after="0" w:line="249" w:lineRule="auto"/>
        <w:rPr>
          <w:sz w:val="20"/>
          <w:szCs w:val="20"/>
          <w:color w:val="auto"/>
        </w:rPr>
      </w:pPr>
      <w:r>
        <w:rPr>
          <w:rFonts w:ascii="Times New Roman" w:cs="Times New Roman" w:eastAsia="Times New Roman" w:hAnsi="Times New Roman"/>
          <w:sz w:val="20"/>
          <w:szCs w:val="20"/>
          <w:color w:val="auto"/>
        </w:rPr>
        <w:t>Property and equipment, net, consists of computer equipment with a depreciable life of 3 years, office furniture and equipment with depreciable lives of 8 to 20 years, land which has no depreciable life, and buildings and improvements with depreciable lives of 30 years. Property and equipment is recorded at acquisition cost and depreciated to their respective salvage values using the straight-line method over the estimated useful lives of the assets. Depreciation is included in administrative and other expenses in the consolidated statement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Repurchase Agreements</w:t>
      </w:r>
    </w:p>
    <w:p>
      <w:pPr>
        <w:spacing w:after="0" w:line="234" w:lineRule="exact"/>
        <w:rPr>
          <w:sz w:val="20"/>
          <w:szCs w:val="20"/>
          <w:color w:val="auto"/>
        </w:rPr>
      </w:pPr>
    </w:p>
    <w:p>
      <w:pPr>
        <w:ind w:right="280" w:firstLine="360"/>
        <w:spacing w:after="0" w:line="258" w:lineRule="auto"/>
        <w:rPr>
          <w:sz w:val="20"/>
          <w:szCs w:val="20"/>
          <w:color w:val="auto"/>
        </w:rPr>
      </w:pPr>
      <w:r>
        <w:rPr>
          <w:rFonts w:ascii="Times New Roman" w:cs="Times New Roman" w:eastAsia="Times New Roman" w:hAnsi="Times New Roman"/>
          <w:sz w:val="20"/>
          <w:szCs w:val="20"/>
          <w:color w:val="auto"/>
        </w:rPr>
        <w:t>The Company finances the acquisition of the majority of its PT MBS through the use of repurchase agreements under master repurchase agreements. Repurchase agreements are accounted for as collateralized financing transactions, which are carried at their contractual amounts, including accrued interest, as specified in the respective agreements.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Per Share</w:t>
      </w:r>
    </w:p>
    <w:p>
      <w:pPr>
        <w:spacing w:after="0" w:line="235" w:lineRule="exact"/>
        <w:rPr>
          <w:sz w:val="20"/>
          <w:szCs w:val="20"/>
          <w:color w:val="auto"/>
        </w:rPr>
      </w:pPr>
    </w:p>
    <w:p>
      <w:pPr>
        <w:jc w:val="both"/>
        <w:ind w:right="40" w:firstLine="360"/>
        <w:spacing w:after="0" w:line="258" w:lineRule="auto"/>
        <w:rPr>
          <w:sz w:val="20"/>
          <w:szCs w:val="20"/>
          <w:color w:val="auto"/>
        </w:rPr>
      </w:pPr>
      <w:r>
        <w:rPr>
          <w:rFonts w:ascii="Times New Roman" w:cs="Times New Roman" w:eastAsia="Times New Roman" w:hAnsi="Times New Roman"/>
          <w:sz w:val="20"/>
          <w:szCs w:val="20"/>
          <w:color w:val="auto"/>
        </w:rPr>
        <w:t>Basic EPS is calculated as income available to common stockholders divided by the weighted average number of common shares outstanding during the period. Diluted EPS is calculated using the treasury stock or two-class method, as applicable for common stock equivalents. However, the common stock equivalents are not included in computing diluted EPS if the result is anti-dilutive.</w:t>
      </w:r>
    </w:p>
    <w:p>
      <w:pPr>
        <w:spacing w:after="0" w:line="178" w:lineRule="exact"/>
        <w:rPr>
          <w:sz w:val="20"/>
          <w:szCs w:val="20"/>
          <w:color w:val="auto"/>
        </w:rPr>
      </w:pPr>
    </w:p>
    <w:p>
      <w:pPr>
        <w:ind w:right="160" w:firstLine="360"/>
        <w:spacing w:after="0" w:line="252" w:lineRule="auto"/>
        <w:rPr>
          <w:sz w:val="20"/>
          <w:szCs w:val="20"/>
          <w:color w:val="auto"/>
        </w:rPr>
      </w:pPr>
      <w:r>
        <w:rPr>
          <w:rFonts w:ascii="Times New Roman" w:cs="Times New Roman" w:eastAsia="Times New Roman" w:hAnsi="Times New Roman"/>
          <w:sz w:val="20"/>
          <w:szCs w:val="20"/>
          <w:color w:val="auto"/>
        </w:rPr>
        <w:t>Outstanding shares of Class B Common Stock, participating and convertible into Class A Common Stock, are entitled to receive dividends in an amount equal to the dividends declared, if any, on each share of Class A Common Stock. Accordingly, shares of the Class B Common Stock are included in the computation of basic EPS using the two-class method and, consequently, are presented separately from Class A Common Stock.</w:t>
      </w:r>
    </w:p>
    <w:p>
      <w:pPr>
        <w:spacing w:after="0" w:line="185"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20"/>
          <w:szCs w:val="20"/>
          <w:color w:val="auto"/>
        </w:rPr>
        <w:t>The shares of Class C Common Stock are not included in the basic EPS computation as these shares do not have participation rights. The outstanding shares of Class B and Class C Common Stock are not included in the computation of diluted EPS for the Class A Common Stock as the conditions for conversion into shares of Class A Common Stock were not met.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Income taxes are provided for using the asset and liability method. Deferred tax assets and liabilities represent the differences</w:t>
      </w:r>
    </w:p>
    <w:p>
      <w:pPr>
        <w:spacing w:after="0" w:line="2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between the financial statement and income tax bases of assets and liabilities using enacted tax rates. The measurement of net deferred tax assets is adjusted by a valuation allowance if, based on the Company’s evaluation, it is more likely than not that they will not be fully realized in future accounting periods.</w:t>
      </w:r>
    </w:p>
    <w:p>
      <w:pPr>
        <w:spacing w:after="0" w:line="191" w:lineRule="exact"/>
        <w:rPr>
          <w:sz w:val="20"/>
          <w:szCs w:val="20"/>
          <w:color w:val="auto"/>
        </w:rPr>
      </w:pPr>
    </w:p>
    <w:p>
      <w:pPr>
        <w:ind w:right="20" w:firstLine="360"/>
        <w:spacing w:after="0" w:line="249" w:lineRule="auto"/>
        <w:rPr>
          <w:sz w:val="20"/>
          <w:szCs w:val="20"/>
          <w:color w:val="auto"/>
        </w:rPr>
      </w:pPr>
      <w:r>
        <w:rPr>
          <w:rFonts w:ascii="Times New Roman" w:cs="Times New Roman" w:eastAsia="Times New Roman" w:hAnsi="Times New Roman"/>
          <w:sz w:val="20"/>
          <w:szCs w:val="20"/>
          <w:color w:val="auto"/>
        </w:rPr>
        <w:t>The Company’s U.S. federal income tax returns for years ended on or after December 31, 2022 remain open for examination. Although management believes its calculations for tax returns are correct and the positions taken thereon are reasonable, the final outcome of a tax examination, should it occur, could be materially different from the tax returns filed by the Company, and those differences could result in significant costs or benefits to the Company. Bimini Capital and its includable subsidiaries, and Royal Palm and its includable subsidiaries, file their tax returns as separate tax paying entities.</w:t>
      </w:r>
    </w:p>
    <w:p>
      <w:pPr>
        <w:spacing w:after="0" w:line="187" w:lineRule="exact"/>
        <w:rPr>
          <w:sz w:val="20"/>
          <w:szCs w:val="20"/>
          <w:color w:val="auto"/>
        </w:rPr>
      </w:pPr>
    </w:p>
    <w:p>
      <w:pPr>
        <w:ind w:firstLine="360"/>
        <w:spacing w:after="0" w:line="244" w:lineRule="auto"/>
        <w:rPr>
          <w:sz w:val="20"/>
          <w:szCs w:val="20"/>
          <w:color w:val="auto"/>
        </w:rPr>
      </w:pPr>
      <w:r>
        <w:rPr>
          <w:rFonts w:ascii="Times New Roman" w:cs="Times New Roman" w:eastAsia="Times New Roman" w:hAnsi="Times New Roman"/>
          <w:sz w:val="20"/>
          <w:szCs w:val="20"/>
          <w:color w:val="auto"/>
        </w:rPr>
        <w:t>The Company assesses the likelihood, based on their technical merit, that uncertain tax positions will be sustained during a tax examination based on the facts, circumstances and information available. The measurement of uncertain tax positions is adjusted when new information is available, or when an event occurs that requires a change. The Company recognizes tax positions in the consolidated financial statements only when it is more likely than not that the position will be sustained upon examination by the relevant taxing authority based on the technical merits of the position. A position that meets this standard is measured at the largest amount of benefit that will more likely than not be realized upon settlement. The difference between the benefit recognized and the tax benefit claimed on a tax return is referred to as an unrecognized tax benefit and is recorded as a liability in the consolidated balance sheets. The Company has recorded no such liabilities. The Company records income tax-related interest and penalties, if applicable, within the income tax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800"/>
          </w:cols>
          <w:pgMar w:left="720" w:top="781" w:right="720" w:bottom="135" w:gutter="0" w:footer="0" w:header="0"/>
        </w:sectPr>
      </w:pPr>
    </w:p>
    <w:bookmarkStart w:id="65" w:name="page66"/>
    <w:bookmarkEnd w:id="65"/>
    <w:p>
      <w:pPr>
        <w:ind w:left="140"/>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35" w:lineRule="exact"/>
        <w:rPr>
          <w:sz w:val="20"/>
          <w:szCs w:val="20"/>
          <w:color w:val="auto"/>
        </w:rPr>
      </w:pPr>
    </w:p>
    <w:p>
      <w:pPr>
        <w:ind w:right="160" w:firstLine="501"/>
        <w:spacing w:after="0" w:line="249" w:lineRule="auto"/>
        <w:rPr>
          <w:sz w:val="20"/>
          <w:szCs w:val="20"/>
          <w:color w:val="auto"/>
        </w:rPr>
      </w:pPr>
      <w:r>
        <w:rPr>
          <w:rFonts w:ascii="Times New Roman" w:cs="Times New Roman" w:eastAsia="Times New Roman" w:hAnsi="Times New Roman"/>
          <w:sz w:val="20"/>
          <w:szCs w:val="20"/>
          <w:color w:val="auto"/>
        </w:rPr>
        <w:t xml:space="preserve">In December 2023, the Financial Accounting Standards Board (“FASB”) issued Accounting Standards Update (“ASU”) No. 2023-09, Income Taxes (Topic 740): </w:t>
      </w:r>
      <w:r>
        <w:rPr>
          <w:rFonts w:ascii="Times New Roman" w:cs="Times New Roman" w:eastAsia="Times New Roman" w:hAnsi="Times New Roman"/>
          <w:sz w:val="20"/>
          <w:szCs w:val="20"/>
          <w:i w:val="1"/>
          <w:iCs w:val="1"/>
          <w:color w:val="auto"/>
        </w:rPr>
        <w:t>Improvements to Income Tax Disclosures,</w:t>
      </w:r>
      <w:r>
        <w:rPr>
          <w:rFonts w:ascii="Times New Roman" w:cs="Times New Roman" w:eastAsia="Times New Roman" w:hAnsi="Times New Roman"/>
          <w:sz w:val="20"/>
          <w:szCs w:val="20"/>
          <w:color w:val="auto"/>
        </w:rPr>
        <w:t xml:space="preserve"> which requires, among other things, greater disaggregation of information in the income tax rate reconciliation and for paid income taxes to be disaggregated by jurisdiction. The Company adopted ASU No. 2023- 09 in the current period and retrospectively. The adoption of ASU No. 2023-09 did not have any impact on the financial statements or results of operations.</w:t>
      </w:r>
    </w:p>
    <w:p>
      <w:pPr>
        <w:spacing w:after="0" w:line="187" w:lineRule="exact"/>
        <w:rPr>
          <w:sz w:val="20"/>
          <w:szCs w:val="20"/>
          <w:color w:val="auto"/>
        </w:rPr>
      </w:pPr>
    </w:p>
    <w:p>
      <w:pPr>
        <w:ind w:right="120" w:firstLine="500"/>
        <w:spacing w:after="0" w:line="249" w:lineRule="auto"/>
        <w:rPr>
          <w:sz w:val="20"/>
          <w:szCs w:val="20"/>
          <w:color w:val="auto"/>
        </w:rPr>
      </w:pPr>
      <w:r>
        <w:rPr>
          <w:rFonts w:ascii="Times New Roman" w:cs="Times New Roman" w:eastAsia="Times New Roman" w:hAnsi="Times New Roman"/>
          <w:sz w:val="20"/>
          <w:szCs w:val="20"/>
          <w:color w:val="auto"/>
        </w:rPr>
        <w:t xml:space="preserve">In November 2024, the FASB issued ASU No. 2024-03, Income Statement—Reporting Comprehensive Income—Expense Disaggregation Disclosures (Subtopic 220-40): </w:t>
      </w:r>
      <w:r>
        <w:rPr>
          <w:rFonts w:ascii="Times New Roman" w:cs="Times New Roman" w:eastAsia="Times New Roman" w:hAnsi="Times New Roman"/>
          <w:sz w:val="20"/>
          <w:szCs w:val="20"/>
          <w:i w:val="1"/>
          <w:iCs w:val="1"/>
          <w:color w:val="auto"/>
        </w:rPr>
        <w:t>Disaggregation of Income Statement Expenses</w:t>
      </w:r>
      <w:r>
        <w:rPr>
          <w:rFonts w:ascii="Times New Roman" w:cs="Times New Roman" w:eastAsia="Times New Roman" w:hAnsi="Times New Roman"/>
          <w:sz w:val="20"/>
          <w:szCs w:val="20"/>
          <w:color w:val="auto"/>
        </w:rPr>
        <w:t>. The amendments in the ASU require disclosures about specific types of expenses included in the expense captions presented on the Consolidated Statements of Income, as well as disclosures about selling expenses. ASU 2024-03 is effective for fiscal years beginning after December 15, 2026, with early adoption allowed. We are currently evaluating the impact of adoption on our financial disclosures.</w:t>
      </w: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 2. ADVISORY SERVICES</w:t>
      </w:r>
    </w:p>
    <w:p>
      <w:pPr>
        <w:spacing w:after="0" w:line="235" w:lineRule="exact"/>
        <w:rPr>
          <w:sz w:val="20"/>
          <w:szCs w:val="20"/>
          <w:color w:val="auto"/>
        </w:rPr>
      </w:pPr>
    </w:p>
    <w:p>
      <w:pPr>
        <w:ind w:left="20" w:right="140" w:firstLine="360"/>
        <w:spacing w:after="0" w:line="249" w:lineRule="auto"/>
        <w:rPr>
          <w:sz w:val="20"/>
          <w:szCs w:val="20"/>
          <w:color w:val="auto"/>
        </w:rPr>
      </w:pPr>
      <w:r>
        <w:rPr>
          <w:rFonts w:ascii="Times New Roman" w:cs="Times New Roman" w:eastAsia="Times New Roman" w:hAnsi="Times New Roman"/>
          <w:sz w:val="20"/>
          <w:szCs w:val="20"/>
          <w:color w:val="auto"/>
        </w:rPr>
        <w:t>Bimini Advisors serves as the manager and advisor for Orchid pursuant to the terms of a management agreement. As Manager, Bimini Advisors is responsible for administering Orchid's business activities and day-to-day operations. Pursuant to the terms of the management agreement, Bimini Advisors provides Orchid with its management team, including its officers, along with appropriate support personnel. Bimini Advisors is at all times subject to the supervision and oversight of Orchid's board of directors and has only such functions and authority as delegated to it. Bimini Advisors receives a monthly management fee in the amount of:</w:t>
      </w:r>
    </w:p>
    <w:p>
      <w:pPr>
        <w:spacing w:after="0" w:line="192" w:lineRule="exact"/>
        <w:rPr>
          <w:sz w:val="20"/>
          <w:szCs w:val="20"/>
          <w:color w:val="auto"/>
        </w:rPr>
      </w:pPr>
    </w:p>
    <w:p>
      <w:pPr>
        <w:ind w:left="740" w:hanging="350"/>
        <w:spacing w:after="0"/>
        <w:tabs>
          <w:tab w:leader="none" w:pos="7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One-twelfth of 1.50% of the first $250 million of the Orchid’s month-end equity, as defined in the management agreement,</w:t>
      </w:r>
    </w:p>
    <w:p>
      <w:pPr>
        <w:spacing w:after="0" w:line="36" w:lineRule="exact"/>
        <w:rPr>
          <w:rFonts w:ascii="Times New Roman" w:cs="Times New Roman" w:eastAsia="Times New Roman" w:hAnsi="Times New Roman"/>
          <w:sz w:val="20"/>
          <w:szCs w:val="20"/>
          <w:color w:val="auto"/>
        </w:rPr>
      </w:pPr>
    </w:p>
    <w:p>
      <w:pPr>
        <w:ind w:left="740" w:right="540" w:hanging="350"/>
        <w:spacing w:after="0" w:line="244" w:lineRule="auto"/>
        <w:tabs>
          <w:tab w:leader="none" w:pos="7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One-twelfth of 1.25% of the Orchid’s month-end equity that is greater than $250 million and less than or equal to $500 million, and</w:t>
      </w:r>
    </w:p>
    <w:p>
      <w:pPr>
        <w:spacing w:after="0" w:line="1" w:lineRule="exact"/>
        <w:rPr>
          <w:rFonts w:ascii="Times New Roman" w:cs="Times New Roman" w:eastAsia="Times New Roman" w:hAnsi="Times New Roman"/>
          <w:sz w:val="20"/>
          <w:szCs w:val="20"/>
          <w:color w:val="auto"/>
        </w:rPr>
      </w:pPr>
    </w:p>
    <w:p>
      <w:pPr>
        <w:ind w:left="740" w:hanging="350"/>
        <w:spacing w:after="0"/>
        <w:tabs>
          <w:tab w:leader="none" w:pos="7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One-twelfth of 1.00% of the Orchid’s month-end equity that is greater than $500 million.</w:t>
      </w:r>
    </w:p>
    <w:p>
      <w:pPr>
        <w:spacing w:after="0" w:line="209" w:lineRule="exact"/>
        <w:rPr>
          <w:sz w:val="20"/>
          <w:szCs w:val="20"/>
          <w:color w:val="auto"/>
        </w:rPr>
      </w:pPr>
    </w:p>
    <w:p>
      <w:pPr>
        <w:ind w:left="20" w:firstLine="360"/>
        <w:spacing w:after="0" w:line="277" w:lineRule="auto"/>
        <w:rPr>
          <w:sz w:val="20"/>
          <w:szCs w:val="20"/>
          <w:color w:val="auto"/>
        </w:rPr>
      </w:pPr>
      <w:r>
        <w:rPr>
          <w:rFonts w:ascii="Times New Roman" w:cs="Times New Roman" w:eastAsia="Times New Roman" w:hAnsi="Times New Roman"/>
          <w:sz w:val="20"/>
          <w:szCs w:val="20"/>
          <w:color w:val="auto"/>
        </w:rPr>
        <w:t>The Company also provides certain repurchase agreement trading, clearing and administrative services to Orchid. In consideration for such services, Orchid pays the following fees to the Company:</w:t>
      </w:r>
    </w:p>
    <w:p>
      <w:pPr>
        <w:spacing w:after="0" w:line="164" w:lineRule="exact"/>
        <w:rPr>
          <w:sz w:val="20"/>
          <w:szCs w:val="20"/>
          <w:color w:val="auto"/>
        </w:rPr>
      </w:pPr>
    </w:p>
    <w:p>
      <w:pPr>
        <w:ind w:left="740" w:right="180" w:hanging="350"/>
        <w:spacing w:after="0" w:line="252" w:lineRule="auto"/>
        <w:tabs>
          <w:tab w:leader="none" w:pos="7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daily fee equal to the outstanding principal balance of repurchase agreement funding in place as of the end of such day multiplied by 1.5 basis points for the amount of aggregate outstanding principal balance less than or equal to $5 billion, and multiplied by 1.0 basis point for any amount of aggregate outstanding principal balance in excess of $5 billion, and</w:t>
      </w:r>
    </w:p>
    <w:p>
      <w:pPr>
        <w:spacing w:after="0" w:line="1" w:lineRule="exact"/>
        <w:rPr>
          <w:rFonts w:ascii="Times New Roman" w:cs="Times New Roman" w:eastAsia="Times New Roman" w:hAnsi="Times New Roman"/>
          <w:sz w:val="20"/>
          <w:szCs w:val="20"/>
          <w:color w:val="auto"/>
        </w:rPr>
      </w:pPr>
    </w:p>
    <w:p>
      <w:pPr>
        <w:ind w:left="740" w:hanging="350"/>
        <w:spacing w:after="0"/>
        <w:tabs>
          <w:tab w:leader="none" w:pos="7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fee for the clearing and operational services provided by personnel of the Manager equal to $10,000 per month.</w:t>
      </w:r>
    </w:p>
    <w:p>
      <w:pPr>
        <w:spacing w:after="0" w:line="209" w:lineRule="exact"/>
        <w:rPr>
          <w:sz w:val="20"/>
          <w:szCs w:val="20"/>
          <w:color w:val="auto"/>
        </w:rPr>
      </w:pPr>
    </w:p>
    <w:p>
      <w:pPr>
        <w:ind w:left="20" w:right="120" w:firstLine="361"/>
        <w:spacing w:after="0" w:line="247" w:lineRule="auto"/>
        <w:rPr>
          <w:sz w:val="20"/>
          <w:szCs w:val="20"/>
          <w:color w:val="auto"/>
        </w:rPr>
      </w:pPr>
      <w:r>
        <w:rPr>
          <w:rFonts w:ascii="Times New Roman" w:cs="Times New Roman" w:eastAsia="Times New Roman" w:hAnsi="Times New Roman"/>
          <w:sz w:val="20"/>
          <w:szCs w:val="20"/>
          <w:color w:val="auto"/>
        </w:rPr>
        <w:t>Orchid is obligated to reimburse Bimini Advisors for any direct expenses incurred on its behalf and to pay to Bimini Advisors an amount equal to Orchid's pro rata portion of certain overhead costs set forth in the management agreement. Orchid is required to pay Bimini Advisors by the 15th day of the month following the month the services are performed. The management agreement has been renewed through February 20, 2027 and provides for automatic one-year extension options thereafter. Should Orchid terminate the management agreement without cause, it will be obligated to pay Bimini Advisors a termination fee equal to three times the average annual management fee, as defined in the management agreement, before or on the last day of the applicable renewal term.</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summarizes the advisory services revenue from Orchid for the years ended December 31, 2025 and 2024.</w:t>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23495</wp:posOffset>
                </wp:positionV>
                <wp:extent cx="685800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pt,1.85pt" to="541.2pt,1.85pt" o:allowincell="f" strokecolor="#FFFFFF" strokeweight="0.1399pt"/>
            </w:pict>
          </mc:Fallback>
        </mc:AlternateConten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75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r>
      <w:tr>
        <w:trPr>
          <w:trHeight w:val="187"/>
        </w:trPr>
        <w:tc>
          <w:tcPr>
            <w:tcW w:w="7560" w:type="dxa"/>
            <w:vAlign w:val="bottom"/>
            <w:tcBorders>
              <w:top w:val="single" w:sz="8" w:color="DDDDDD"/>
            </w:tcBorders>
            <w:shd w:val="clear" w:color="auto" w:fill="DDDDDD"/>
          </w:tcPr>
          <w:p>
            <w:pPr>
              <w:spacing w:after="0" w:line="187" w:lineRule="exact"/>
              <w:rPr>
                <w:sz w:val="20"/>
                <w:szCs w:val="20"/>
                <w:color w:val="auto"/>
              </w:rPr>
            </w:pPr>
            <w:r>
              <w:rPr>
                <w:rFonts w:ascii="Times New Roman" w:cs="Times New Roman" w:eastAsia="Times New Roman" w:hAnsi="Times New Roman"/>
                <w:sz w:val="18"/>
                <w:szCs w:val="18"/>
                <w:color w:val="auto"/>
              </w:rPr>
              <w:t>Management fee</w:t>
            </w:r>
          </w:p>
        </w:tc>
        <w:tc>
          <w:tcPr>
            <w:tcW w:w="1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780" w:type="dxa"/>
            <w:vAlign w:val="bottom"/>
            <w:tcBorders>
              <w:top w:val="single" w:sz="8" w:color="DDDDDD"/>
            </w:tcBorders>
            <w:shd w:val="clear" w:color="auto" w:fill="DDDDDD"/>
          </w:tcPr>
          <w:p>
            <w:pPr>
              <w:spacing w:after="0"/>
              <w:rPr>
                <w:sz w:val="16"/>
                <w:szCs w:val="16"/>
                <w:color w:val="auto"/>
              </w:rPr>
            </w:pPr>
          </w:p>
        </w:tc>
        <w:tc>
          <w:tcPr>
            <w:tcW w:w="52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12,723</w:t>
            </w:r>
          </w:p>
        </w:tc>
        <w:tc>
          <w:tcPr>
            <w:tcW w:w="2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9,354</w:t>
            </w:r>
          </w:p>
        </w:tc>
        <w:tc>
          <w:tcPr>
            <w:tcW w:w="100" w:type="dxa"/>
            <w:vAlign w:val="bottom"/>
            <w:tcBorders>
              <w:top w:val="single" w:sz="8" w:color="DDDDDD"/>
            </w:tcBorders>
            <w:shd w:val="clear" w:color="auto" w:fill="DDDDDD"/>
          </w:tcPr>
          <w:p>
            <w:pPr>
              <w:spacing w:after="0"/>
              <w:rPr>
                <w:sz w:val="16"/>
                <w:szCs w:val="16"/>
                <w:color w:val="auto"/>
              </w:rPr>
            </w:pPr>
          </w:p>
        </w:tc>
        <w:tc>
          <w:tcPr>
            <w:tcW w:w="20" w:type="dxa"/>
            <w:vAlign w:val="bottom"/>
            <w:tcBorders>
              <w:top w:val="single" w:sz="8" w:color="auto"/>
            </w:tcBorders>
            <w:shd w:val="clear" w:color="auto" w:fill="DDDDDD"/>
          </w:tcPr>
          <w:p>
            <w:pPr>
              <w:spacing w:after="0"/>
              <w:rPr>
                <w:sz w:val="16"/>
                <w:szCs w:val="16"/>
                <w:color w:val="auto"/>
              </w:rPr>
            </w:pPr>
          </w:p>
        </w:tc>
      </w:tr>
      <w:tr>
        <w:trPr>
          <w:trHeight w:val="217"/>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Allocated overhead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756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Repurchase, clearing and administrative fee</w:t>
            </w:r>
          </w:p>
        </w:tc>
        <w:tc>
          <w:tcPr>
            <w:tcW w:w="12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spacing w:after="0"/>
              <w:rPr>
                <w:sz w:val="18"/>
                <w:szCs w:val="18"/>
                <w:color w:val="auto"/>
              </w:rPr>
            </w:pPr>
          </w:p>
        </w:tc>
        <w:tc>
          <w:tcPr>
            <w:tcW w:w="780" w:type="dxa"/>
            <w:vAlign w:val="bottom"/>
            <w:tcBorders>
              <w:bottom w:val="single" w:sz="8" w:color="auto"/>
            </w:tcBorders>
            <w:shd w:val="clear" w:color="auto" w:fill="DDDDDD"/>
          </w:tcPr>
          <w:p>
            <w:pPr>
              <w:spacing w:after="0"/>
              <w:rPr>
                <w:sz w:val="18"/>
                <w:szCs w:val="18"/>
                <w:color w:val="auto"/>
              </w:rPr>
            </w:pPr>
          </w:p>
        </w:tc>
        <w:tc>
          <w:tcPr>
            <w:tcW w:w="5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2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Borders>
              <w:bottom w:val="single" w:sz="8" w:color="auto"/>
            </w:tcBorders>
            <w:shd w:val="clear" w:color="auto" w:fill="DDDDDD"/>
          </w:tcPr>
          <w:p>
            <w:pPr>
              <w:spacing w:after="0"/>
              <w:rPr>
                <w:sz w:val="18"/>
                <w:szCs w:val="18"/>
                <w:color w:val="auto"/>
              </w:rPr>
            </w:pPr>
          </w:p>
        </w:tc>
        <w:tc>
          <w:tcPr>
            <w:tcW w:w="20" w:type="dxa"/>
            <w:vAlign w:val="bottom"/>
            <w:tcBorders>
              <w:bottom w:val="single" w:sz="8" w:color="auto"/>
            </w:tcBorders>
            <w:shd w:val="clear" w:color="auto" w:fill="DDDDDD"/>
          </w:tcPr>
          <w:p>
            <w:pPr>
              <w:spacing w:after="0"/>
              <w:rPr>
                <w:sz w:val="18"/>
                <w:szCs w:val="18"/>
                <w:color w:val="auto"/>
              </w:rPr>
            </w:pPr>
          </w:p>
        </w:tc>
      </w:tr>
      <w:tr>
        <w:trPr>
          <w:trHeight w:val="230"/>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16,575</w:t>
            </w: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12,784</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0"/>
        </w:trPr>
        <w:tc>
          <w:tcPr>
            <w:tcW w:w="7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-173990</wp:posOffset>
                </wp:positionV>
                <wp:extent cx="685800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pt,-13.6999pt" to="541.2pt,-13.6999pt" o:allowincell="f" strokecolor="#FFFFFF" strokeweight="0.1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820"/>
          </w:cols>
          <w:pgMar w:left="700" w:top="781" w:right="720" w:bottom="135" w:gutter="0" w:footer="0" w:header="0"/>
        </w:sectPr>
      </w:pPr>
    </w:p>
    <w:bookmarkStart w:id="66" w:name="page67"/>
    <w:bookmarkEnd w:id="66"/>
    <w:p>
      <w:pPr>
        <w:ind w:right="900" w:firstLine="360"/>
        <w:spacing w:after="0" w:line="278" w:lineRule="auto"/>
        <w:rPr>
          <w:sz w:val="20"/>
          <w:szCs w:val="20"/>
          <w:color w:val="auto"/>
        </w:rPr>
      </w:pPr>
      <w:r>
        <w:rPr>
          <w:rFonts w:ascii="Times New Roman" w:cs="Times New Roman" w:eastAsia="Times New Roman" w:hAnsi="Times New Roman"/>
          <w:sz w:val="20"/>
          <w:szCs w:val="20"/>
          <w:color w:val="auto"/>
        </w:rPr>
        <w:t>As of December 31, 2025 and 2024, the net amount due from Orchid was approximately $1.7 million and $1.2 million, respectively.</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MORTGAGE-BACKED SECURITIES</w:t>
      </w:r>
    </w:p>
    <w:p>
      <w:pPr>
        <w:spacing w:after="0" w:line="2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presents the Company’s MBS portfolio as of December 31, 2025 and 2024:</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26035</wp:posOffset>
                </wp:positionV>
                <wp:extent cx="685800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2.05pt" to="540.2pt,2.05pt" o:allowincell="f" strokecolor="#FFFFFF" strokeweight="0.14pt"/>
            </w:pict>
          </mc:Fallback>
        </mc:AlternateConten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9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Par Value</w:t>
            </w:r>
          </w:p>
        </w:tc>
        <w:tc>
          <w:tcPr>
            <w:tcW w:w="2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gridSpan w:val="2"/>
          </w:tcPr>
          <w:p>
            <w:pPr>
              <w:ind w:left="340"/>
              <w:spacing w:after="0"/>
              <w:rPr>
                <w:sz w:val="20"/>
                <w:szCs w:val="20"/>
                <w:color w:val="auto"/>
              </w:rPr>
            </w:pPr>
            <w:r>
              <w:rPr>
                <w:rFonts w:ascii="Times New Roman" w:cs="Times New Roman" w:eastAsia="Times New Roman" w:hAnsi="Times New Roman"/>
                <w:sz w:val="20"/>
                <w:szCs w:val="20"/>
                <w:b w:val="1"/>
                <w:bCs w:val="1"/>
                <w:color w:val="auto"/>
              </w:rPr>
              <w:t>Cost</w:t>
            </w:r>
            <w:r>
              <w:rPr>
                <w:rFonts w:ascii="Times New Roman" w:cs="Times New Roman" w:eastAsia="Times New Roman" w:hAnsi="Times New Roman"/>
                <w:sz w:val="11"/>
                <w:szCs w:val="11"/>
                <w:b w:val="1"/>
                <w:bCs w:val="1"/>
                <w:color w:val="auto"/>
              </w:rPr>
              <w:t>(1)</w:t>
            </w:r>
          </w:p>
        </w:tc>
        <w:tc>
          <w:tcPr>
            <w:tcW w:w="10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gridSpan w:val="3"/>
          </w:tcPr>
          <w:p>
            <w:pPr>
              <w:ind w:left="140"/>
              <w:spacing w:after="0"/>
              <w:rPr>
                <w:sz w:val="20"/>
                <w:szCs w:val="20"/>
                <w:color w:val="auto"/>
              </w:rPr>
            </w:pPr>
            <w:r>
              <w:rPr>
                <w:rFonts w:ascii="Times New Roman" w:cs="Times New Roman" w:eastAsia="Times New Roman" w:hAnsi="Times New Roman"/>
                <w:sz w:val="20"/>
                <w:szCs w:val="20"/>
                <w:b w:val="1"/>
                <w:bCs w:val="1"/>
                <w:color w:val="auto"/>
              </w:rPr>
              <w:t>Fair Value</w:t>
            </w:r>
          </w:p>
        </w:tc>
      </w:tr>
      <w:tr>
        <w:trPr>
          <w:trHeight w:val="211"/>
        </w:trPr>
        <w:tc>
          <w:tcPr>
            <w:tcW w:w="5940" w:type="dxa"/>
            <w:vAlign w:val="bottom"/>
            <w:tcBorders>
              <w:top w:val="single" w:sz="8" w:color="DDDDDD"/>
            </w:tcBorders>
            <w:shd w:val="clear" w:color="auto" w:fill="DDDDDD"/>
          </w:tcPr>
          <w:p>
            <w:pPr>
              <w:spacing w:after="0" w:line="210" w:lineRule="exact"/>
              <w:rPr>
                <w:sz w:val="20"/>
                <w:szCs w:val="20"/>
                <w:color w:val="auto"/>
              </w:rPr>
            </w:pPr>
            <w:r>
              <w:rPr>
                <w:rFonts w:ascii="Times New Roman" w:cs="Times New Roman" w:eastAsia="Times New Roman" w:hAnsi="Times New Roman"/>
                <w:sz w:val="20"/>
                <w:szCs w:val="20"/>
                <w:color w:val="auto"/>
              </w:rPr>
              <w:t>December 31, 2025</w:t>
            </w:r>
          </w:p>
        </w:tc>
        <w:tc>
          <w:tcPr>
            <w:tcW w:w="120" w:type="dxa"/>
            <w:vAlign w:val="bottom"/>
            <w:tcBorders>
              <w:top w:val="single" w:sz="8" w:color="DDDDDD"/>
            </w:tcBorders>
            <w:shd w:val="clear" w:color="auto" w:fill="DDDDDD"/>
          </w:tcPr>
          <w:p>
            <w:pPr>
              <w:spacing w:after="0"/>
              <w:rPr>
                <w:sz w:val="18"/>
                <w:szCs w:val="18"/>
                <w:color w:val="auto"/>
              </w:rPr>
            </w:pPr>
          </w:p>
        </w:tc>
        <w:tc>
          <w:tcPr>
            <w:tcW w:w="100" w:type="dxa"/>
            <w:vAlign w:val="bottom"/>
            <w:tcBorders>
              <w:top w:val="single" w:sz="8" w:color="DDDDDD"/>
            </w:tcBorders>
            <w:shd w:val="clear" w:color="auto" w:fill="DDDDDD"/>
          </w:tcPr>
          <w:p>
            <w:pPr>
              <w:jc w:val="right"/>
              <w:spacing w:after="0" w:line="21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300" w:type="dxa"/>
            <w:vAlign w:val="bottom"/>
            <w:tcBorders>
              <w:top w:val="single" w:sz="8" w:color="DDDDDD"/>
            </w:tcBorders>
            <w:shd w:val="clear" w:color="auto" w:fill="DDDDDD"/>
          </w:tcPr>
          <w:p>
            <w:pPr>
              <w:jc w:val="right"/>
              <w:spacing w:after="0" w:line="210" w:lineRule="exact"/>
              <w:rPr>
                <w:sz w:val="20"/>
                <w:szCs w:val="20"/>
                <w:color w:val="auto"/>
              </w:rPr>
            </w:pPr>
            <w:r>
              <w:rPr>
                <w:rFonts w:ascii="Times New Roman" w:cs="Times New Roman" w:eastAsia="Times New Roman" w:hAnsi="Times New Roman"/>
                <w:sz w:val="20"/>
                <w:szCs w:val="20"/>
                <w:color w:val="auto"/>
              </w:rPr>
              <w:t>86,293</w:t>
            </w:r>
          </w:p>
        </w:tc>
        <w:tc>
          <w:tcPr>
            <w:tcW w:w="220" w:type="dxa"/>
            <w:vAlign w:val="bottom"/>
            <w:tcBorders>
              <w:top w:val="single" w:sz="8" w:color="DDDDDD"/>
            </w:tcBorders>
            <w:shd w:val="clear" w:color="auto" w:fill="DDDDDD"/>
          </w:tcPr>
          <w:p>
            <w:pPr>
              <w:spacing w:after="0"/>
              <w:rPr>
                <w:sz w:val="18"/>
                <w:szCs w:val="18"/>
                <w:color w:val="auto"/>
              </w:rPr>
            </w:pPr>
          </w:p>
        </w:tc>
        <w:tc>
          <w:tcPr>
            <w:tcW w:w="100" w:type="dxa"/>
            <w:vAlign w:val="bottom"/>
            <w:tcBorders>
              <w:top w:val="single" w:sz="8" w:color="DDDDDD"/>
            </w:tcBorders>
            <w:shd w:val="clear" w:color="auto" w:fill="DDDDDD"/>
          </w:tcPr>
          <w:p>
            <w:pPr>
              <w:jc w:val="right"/>
              <w:spacing w:after="0" w:line="21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300" w:type="dxa"/>
            <w:vAlign w:val="bottom"/>
            <w:tcBorders>
              <w:top w:val="single" w:sz="8" w:color="DDDDDD"/>
            </w:tcBorders>
            <w:shd w:val="clear" w:color="auto" w:fill="DDDDDD"/>
          </w:tcPr>
          <w:p>
            <w:pPr>
              <w:jc w:val="right"/>
              <w:spacing w:after="0" w:line="210" w:lineRule="exact"/>
              <w:rPr>
                <w:sz w:val="20"/>
                <w:szCs w:val="20"/>
                <w:color w:val="auto"/>
              </w:rPr>
            </w:pPr>
            <w:r>
              <w:rPr>
                <w:rFonts w:ascii="Times New Roman" w:cs="Times New Roman" w:eastAsia="Times New Roman" w:hAnsi="Times New Roman"/>
                <w:sz w:val="20"/>
                <w:szCs w:val="20"/>
                <w:color w:val="auto"/>
              </w:rPr>
              <w:t>87,266</w:t>
            </w:r>
          </w:p>
        </w:tc>
        <w:tc>
          <w:tcPr>
            <w:tcW w:w="220" w:type="dxa"/>
            <w:vAlign w:val="bottom"/>
            <w:tcBorders>
              <w:top w:val="single" w:sz="8" w:color="DDDDDD"/>
            </w:tcBorders>
            <w:shd w:val="clear" w:color="auto" w:fill="DDDDDD"/>
          </w:tcPr>
          <w:p>
            <w:pPr>
              <w:spacing w:after="0"/>
              <w:rPr>
                <w:sz w:val="18"/>
                <w:szCs w:val="18"/>
                <w:color w:val="auto"/>
              </w:rPr>
            </w:pPr>
          </w:p>
        </w:tc>
        <w:tc>
          <w:tcPr>
            <w:tcW w:w="100" w:type="dxa"/>
            <w:vAlign w:val="bottom"/>
            <w:tcBorders>
              <w:top w:val="single" w:sz="8" w:color="DDDDDD"/>
            </w:tcBorders>
            <w:shd w:val="clear" w:color="auto" w:fill="DDDDDD"/>
          </w:tcPr>
          <w:p>
            <w:pPr>
              <w:jc w:val="right"/>
              <w:spacing w:after="0" w:line="21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300" w:type="dxa"/>
            <w:vAlign w:val="bottom"/>
            <w:tcBorders>
              <w:top w:val="single" w:sz="8" w:color="DDDDDD"/>
            </w:tcBorders>
            <w:shd w:val="clear" w:color="auto" w:fill="DDDDDD"/>
          </w:tcPr>
          <w:p>
            <w:pPr>
              <w:jc w:val="right"/>
              <w:spacing w:after="0" w:line="210" w:lineRule="exact"/>
              <w:rPr>
                <w:sz w:val="20"/>
                <w:szCs w:val="20"/>
                <w:color w:val="auto"/>
              </w:rPr>
            </w:pPr>
            <w:r>
              <w:rPr>
                <w:rFonts w:ascii="Times New Roman" w:cs="Times New Roman" w:eastAsia="Times New Roman" w:hAnsi="Times New Roman"/>
                <w:sz w:val="20"/>
                <w:szCs w:val="20"/>
                <w:color w:val="auto"/>
              </w:rPr>
              <w:t>88,929</w:t>
            </w:r>
          </w:p>
        </w:tc>
        <w:tc>
          <w:tcPr>
            <w:tcW w:w="100" w:type="dxa"/>
            <w:vAlign w:val="bottom"/>
            <w:tcBorders>
              <w:top w:val="single" w:sz="8" w:color="DDDDDD"/>
            </w:tcBorders>
            <w:shd w:val="clear" w:color="auto" w:fill="DDDDDD"/>
          </w:tcPr>
          <w:p>
            <w:pPr>
              <w:spacing w:after="0"/>
              <w:rPr>
                <w:sz w:val="18"/>
                <w:szCs w:val="18"/>
                <w:color w:val="auto"/>
              </w:rPr>
            </w:pPr>
          </w:p>
        </w:tc>
        <w:tc>
          <w:tcPr>
            <w:tcW w:w="20" w:type="dxa"/>
            <w:vAlign w:val="bottom"/>
            <w:tcBorders>
              <w:top w:val="single" w:sz="8" w:color="auto"/>
            </w:tcBorders>
            <w:shd w:val="clear" w:color="auto" w:fill="DDDDDD"/>
          </w:tcPr>
          <w:p>
            <w:pPr>
              <w:spacing w:after="0"/>
              <w:rPr>
                <w:sz w:val="18"/>
                <w:szCs w:val="18"/>
                <w:color w:val="auto"/>
              </w:rPr>
            </w:pPr>
          </w:p>
        </w:tc>
      </w:tr>
      <w:tr>
        <w:trPr>
          <w:trHeight w:val="267"/>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December 31, 2024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120,502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123,878</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122,348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190" w:lineRule="exact"/>
        <w:rPr>
          <w:sz w:val="20"/>
          <w:szCs w:val="20"/>
          <w:color w:val="auto"/>
        </w:rPr>
      </w:pPr>
    </w:p>
    <w:p>
      <w:pPr>
        <w:ind w:left="320" w:right="560" w:hanging="315"/>
        <w:spacing w:after="0" w:line="278" w:lineRule="auto"/>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information in the table above represents the aggregate current par value, multiplied by the purchase price of each security in the portfolio.</w:t>
      </w:r>
    </w:p>
    <w:p>
      <w:pPr>
        <w:spacing w:after="0" w:line="168" w:lineRule="exact"/>
        <w:rPr>
          <w:sz w:val="20"/>
          <w:szCs w:val="20"/>
          <w:color w:val="auto"/>
        </w:rPr>
      </w:pPr>
    </w:p>
    <w:p>
      <w:pPr>
        <w:ind w:right="320" w:firstLine="360"/>
        <w:spacing w:after="0" w:line="278" w:lineRule="auto"/>
        <w:rPr>
          <w:sz w:val="20"/>
          <w:szCs w:val="20"/>
          <w:color w:val="auto"/>
        </w:rPr>
      </w:pPr>
      <w:r>
        <w:rPr>
          <w:rFonts w:ascii="Times New Roman" w:cs="Times New Roman" w:eastAsia="Times New Roman" w:hAnsi="Times New Roman"/>
          <w:sz w:val="20"/>
          <w:szCs w:val="20"/>
          <w:color w:val="auto"/>
        </w:rPr>
        <w:t>The following table is a summary of the Company's net loss from the sale of MBS for the years ended December 31, 2025 and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23495</wp:posOffset>
                </wp:positionV>
                <wp:extent cx="685800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85pt" to="540.2pt,1.85pt" o:allowincell="f" strokecolor="#FFFFFF" strokeweight="0.14pt"/>
            </w:pict>
          </mc:Fallback>
        </mc:AlternateConten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r>
      <w:tr>
        <w:trPr>
          <w:trHeight w:val="187"/>
        </w:trPr>
        <w:tc>
          <w:tcPr>
            <w:tcW w:w="7560" w:type="dxa"/>
            <w:vAlign w:val="bottom"/>
            <w:tcBorders>
              <w:top w:val="single" w:sz="8" w:color="DDDDDD"/>
            </w:tcBorders>
            <w:shd w:val="clear" w:color="auto" w:fill="DDDDDD"/>
          </w:tcPr>
          <w:p>
            <w:pPr>
              <w:spacing w:after="0" w:line="187" w:lineRule="exact"/>
              <w:rPr>
                <w:sz w:val="20"/>
                <w:szCs w:val="20"/>
                <w:color w:val="auto"/>
              </w:rPr>
            </w:pPr>
            <w:r>
              <w:rPr>
                <w:rFonts w:ascii="Times New Roman" w:cs="Times New Roman" w:eastAsia="Times New Roman" w:hAnsi="Times New Roman"/>
                <w:sz w:val="18"/>
                <w:szCs w:val="18"/>
                <w:color w:val="auto"/>
              </w:rPr>
              <w:t>Proceeds from sales of MBS</w:t>
            </w:r>
          </w:p>
        </w:tc>
        <w:tc>
          <w:tcPr>
            <w:tcW w:w="1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780" w:type="dxa"/>
            <w:vAlign w:val="bottom"/>
            <w:tcBorders>
              <w:top w:val="single" w:sz="8" w:color="DDDDDD"/>
            </w:tcBorders>
            <w:shd w:val="clear" w:color="auto" w:fill="DDDDDD"/>
          </w:tcPr>
          <w:p>
            <w:pPr>
              <w:spacing w:after="0"/>
              <w:rPr>
                <w:sz w:val="16"/>
                <w:szCs w:val="16"/>
                <w:color w:val="auto"/>
              </w:rPr>
            </w:pPr>
          </w:p>
        </w:tc>
        <w:tc>
          <w:tcPr>
            <w:tcW w:w="52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19,513</w:t>
            </w:r>
          </w:p>
        </w:tc>
        <w:tc>
          <w:tcPr>
            <w:tcW w:w="100" w:type="dxa"/>
            <w:vAlign w:val="bottom"/>
            <w:tcBorders>
              <w:top w:val="single" w:sz="8" w:color="DDDDDD"/>
            </w:tcBorders>
            <w:shd w:val="clear" w:color="auto" w:fill="DDDDDD"/>
          </w:tcPr>
          <w:p>
            <w:pPr>
              <w:spacing w:after="0"/>
              <w:rPr>
                <w:sz w:val="16"/>
                <w:szCs w:val="16"/>
                <w:color w:val="auto"/>
              </w:rPr>
            </w:pPr>
          </w:p>
        </w:tc>
        <w:tc>
          <w:tcPr>
            <w:tcW w:w="1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46,252</w:t>
            </w:r>
          </w:p>
        </w:tc>
        <w:tc>
          <w:tcPr>
            <w:tcW w:w="100" w:type="dxa"/>
            <w:vAlign w:val="bottom"/>
            <w:tcBorders>
              <w:top w:val="single" w:sz="8" w:color="DDDDDD"/>
            </w:tcBorders>
            <w:shd w:val="clear" w:color="auto" w:fill="DDDDDD"/>
          </w:tcPr>
          <w:p>
            <w:pPr>
              <w:spacing w:after="0"/>
              <w:rPr>
                <w:sz w:val="16"/>
                <w:szCs w:val="16"/>
                <w:color w:val="auto"/>
              </w:rPr>
            </w:pPr>
          </w:p>
        </w:tc>
        <w:tc>
          <w:tcPr>
            <w:tcW w:w="20" w:type="dxa"/>
            <w:vAlign w:val="bottom"/>
            <w:tcBorders>
              <w:top w:val="single" w:sz="8" w:color="auto"/>
            </w:tcBorders>
            <w:shd w:val="clear" w:color="auto" w:fill="DDDDDD"/>
          </w:tcPr>
          <w:p>
            <w:pPr>
              <w:spacing w:after="0"/>
              <w:rPr>
                <w:sz w:val="16"/>
                <w:szCs w:val="16"/>
                <w:color w:val="auto"/>
              </w:rPr>
            </w:pPr>
          </w:p>
        </w:tc>
      </w:tr>
      <w:tr>
        <w:trPr>
          <w:trHeight w:val="244"/>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Carrying value of MBS sold</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19,732</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46,814</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11"/>
        </w:trPr>
        <w:tc>
          <w:tcPr>
            <w:tcW w:w="756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rPr>
              <w:t>Net loss on sales of MBS</w:t>
            </w:r>
          </w:p>
        </w:tc>
        <w:tc>
          <w:tcPr>
            <w:tcW w:w="12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780" w:type="dxa"/>
            <w:vAlign w:val="bottom"/>
            <w:tcBorders>
              <w:top w:val="single" w:sz="8" w:color="DDDDDD"/>
              <w:bottom w:val="single" w:sz="8" w:color="DDDDDD"/>
            </w:tcBorders>
            <w:shd w:val="clear" w:color="auto" w:fill="DDDDDD"/>
          </w:tcPr>
          <w:p>
            <w:pPr>
              <w:spacing w:after="0"/>
              <w:rPr>
                <w:sz w:val="17"/>
                <w:szCs w:val="17"/>
                <w:color w:val="auto"/>
              </w:rPr>
            </w:pPr>
          </w:p>
        </w:tc>
        <w:tc>
          <w:tcPr>
            <w:tcW w:w="52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highlight w:val="lightGray"/>
                <w:w w:val="74"/>
              </w:rPr>
              <w:t>)</w:t>
            </w:r>
          </w:p>
        </w:tc>
        <w:tc>
          <w:tcPr>
            <w:tcW w:w="20" w:type="dxa"/>
            <w:vAlign w:val="bottom"/>
            <w:tcBorders>
              <w:top w:val="single" w:sz="8" w:color="auto"/>
              <w:bottom w:val="single" w:sz="8" w:color="DDDDDD"/>
            </w:tcBorders>
            <w:shd w:val="clear" w:color="auto" w:fill="DDDDDD"/>
          </w:tcPr>
          <w:p>
            <w:pPr>
              <w:spacing w:after="0"/>
              <w:rPr>
                <w:sz w:val="17"/>
                <w:szCs w:val="17"/>
                <w:color w:val="auto"/>
              </w:rPr>
            </w:pPr>
          </w:p>
        </w:tc>
      </w:tr>
      <w:tr>
        <w:trPr>
          <w:trHeight w:val="20"/>
        </w:trPr>
        <w:tc>
          <w:tcPr>
            <w:tcW w:w="7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56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7"/>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Gross gain sales of MBS</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780" w:type="dxa"/>
            <w:vAlign w:val="bottom"/>
            <w:shd w:val="clear" w:color="auto" w:fill="DDDDDD"/>
          </w:tcPr>
          <w:p>
            <w:pPr>
              <w:spacing w:after="0"/>
              <w:rPr>
                <w:sz w:val="18"/>
                <w:szCs w:val="18"/>
                <w:color w:val="auto"/>
              </w:rPr>
            </w:pPr>
          </w:p>
        </w:tc>
        <w:tc>
          <w:tcPr>
            <w:tcW w:w="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45"/>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Gross loss on sales of MBS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(562 )</w:t>
            </w:r>
          </w:p>
        </w:tc>
        <w:tc>
          <w:tcPr>
            <w:tcW w:w="20" w:type="dxa"/>
            <w:vAlign w:val="bottom"/>
            <w:tcBorders>
              <w:bottom w:val="single" w:sz="8" w:color="auto"/>
            </w:tcBorders>
          </w:tcPr>
          <w:p>
            <w:pPr>
              <w:spacing w:after="0"/>
              <w:rPr>
                <w:sz w:val="20"/>
                <w:szCs w:val="20"/>
                <w:color w:val="auto"/>
              </w:rPr>
            </w:pPr>
          </w:p>
        </w:tc>
      </w:tr>
      <w:tr>
        <w:trPr>
          <w:trHeight w:val="210"/>
        </w:trPr>
        <w:tc>
          <w:tcPr>
            <w:tcW w:w="756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rPr>
              <w:t>Net loss on sales of MBS</w:t>
            </w:r>
          </w:p>
        </w:tc>
        <w:tc>
          <w:tcPr>
            <w:tcW w:w="12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780" w:type="dxa"/>
            <w:vAlign w:val="bottom"/>
            <w:tcBorders>
              <w:top w:val="single" w:sz="8" w:color="DDDDDD"/>
              <w:bottom w:val="single" w:sz="8" w:color="DDDDDD"/>
            </w:tcBorders>
            <w:shd w:val="clear" w:color="auto" w:fill="DDDDDD"/>
          </w:tcPr>
          <w:p>
            <w:pPr>
              <w:spacing w:after="0"/>
              <w:rPr>
                <w:sz w:val="17"/>
                <w:szCs w:val="17"/>
                <w:color w:val="auto"/>
              </w:rPr>
            </w:pPr>
          </w:p>
        </w:tc>
        <w:tc>
          <w:tcPr>
            <w:tcW w:w="52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highlight w:val="lightGray"/>
                <w:w w:val="74"/>
              </w:rPr>
              <w:t>)</w:t>
            </w:r>
          </w:p>
        </w:tc>
        <w:tc>
          <w:tcPr>
            <w:tcW w:w="20" w:type="dxa"/>
            <w:vAlign w:val="bottom"/>
            <w:tcBorders>
              <w:top w:val="single" w:sz="8" w:color="auto"/>
              <w:bottom w:val="single" w:sz="8" w:color="DDDDDD"/>
            </w:tcBorders>
            <w:shd w:val="clear" w:color="auto" w:fill="DDDDDD"/>
          </w:tcPr>
          <w:p>
            <w:pPr>
              <w:spacing w:after="0"/>
              <w:rPr>
                <w:sz w:val="17"/>
                <w:szCs w:val="17"/>
                <w:color w:val="auto"/>
              </w:rPr>
            </w:pPr>
          </w:p>
        </w:tc>
      </w:tr>
      <w:tr>
        <w:trPr>
          <w:trHeight w:val="20"/>
        </w:trPr>
        <w:tc>
          <w:tcPr>
            <w:tcW w:w="7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-595630</wp:posOffset>
                </wp:positionV>
                <wp:extent cx="685800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65">
                          <a:solidFill>
                            <a:srgbClr val="FFFFFF"/>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46.8999pt" to="540.2pt,-46.8999pt" o:allowincell="f" strokecolor="#FFFFFF" strokeweight="0.139pt"/>
            </w:pict>
          </mc:Fallback>
        </mc:AlternateConten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PROPERTY AND EQUIPMENT, NET</w:t>
      </w:r>
    </w:p>
    <w:p>
      <w:pPr>
        <w:spacing w:after="0" w:line="2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composition of property and equipment as of December 31, 2025 and 2024 follows: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23495</wp:posOffset>
                </wp:positionV>
                <wp:extent cx="685800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85pt" to="540.2pt,1.85pt" o:allowincell="f" strokecolor="#FFFFFF" strokeweight="0.14pt"/>
            </w:pict>
          </mc:Fallback>
        </mc:AlternateConten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r>
      <w:tr>
        <w:trPr>
          <w:trHeight w:val="188"/>
        </w:trPr>
        <w:tc>
          <w:tcPr>
            <w:tcW w:w="7560" w:type="dxa"/>
            <w:vAlign w:val="bottom"/>
            <w:tcBorders>
              <w:top w:val="single" w:sz="8" w:color="DDDDDD"/>
            </w:tcBorders>
            <w:shd w:val="clear" w:color="auto" w:fill="DDDDDD"/>
          </w:tcPr>
          <w:p>
            <w:pPr>
              <w:spacing w:after="0" w:line="188" w:lineRule="exact"/>
              <w:rPr>
                <w:sz w:val="20"/>
                <w:szCs w:val="20"/>
                <w:color w:val="auto"/>
              </w:rPr>
            </w:pPr>
            <w:r>
              <w:rPr>
                <w:rFonts w:ascii="Times New Roman" w:cs="Times New Roman" w:eastAsia="Times New Roman" w:hAnsi="Times New Roman"/>
                <w:sz w:val="18"/>
                <w:szCs w:val="18"/>
                <w:color w:val="auto"/>
              </w:rPr>
              <w:t>Land</w:t>
            </w:r>
          </w:p>
        </w:tc>
        <w:tc>
          <w:tcPr>
            <w:tcW w:w="1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jc w:val="right"/>
              <w:spacing w:after="0" w:line="188"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800" w:type="dxa"/>
            <w:vAlign w:val="bottom"/>
            <w:tcBorders>
              <w:top w:val="single" w:sz="8" w:color="DDDDDD"/>
            </w:tcBorders>
            <w:shd w:val="clear" w:color="auto" w:fill="DDDDDD"/>
          </w:tcPr>
          <w:p>
            <w:pPr>
              <w:spacing w:after="0"/>
              <w:rPr>
                <w:sz w:val="16"/>
                <w:szCs w:val="16"/>
                <w:color w:val="auto"/>
              </w:rPr>
            </w:pPr>
          </w:p>
        </w:tc>
        <w:tc>
          <w:tcPr>
            <w:tcW w:w="500" w:type="dxa"/>
            <w:vAlign w:val="bottom"/>
            <w:tcBorders>
              <w:top w:val="single" w:sz="8" w:color="DDDDDD"/>
            </w:tcBorders>
            <w:shd w:val="clear" w:color="auto" w:fill="DDDDDD"/>
          </w:tcPr>
          <w:p>
            <w:pPr>
              <w:jc w:val="right"/>
              <w:spacing w:after="0" w:line="188" w:lineRule="exact"/>
              <w:rPr>
                <w:sz w:val="20"/>
                <w:szCs w:val="20"/>
                <w:color w:val="auto"/>
              </w:rPr>
            </w:pPr>
            <w:r>
              <w:rPr>
                <w:rFonts w:ascii="Times New Roman" w:cs="Times New Roman" w:eastAsia="Times New Roman" w:hAnsi="Times New Roman"/>
                <w:sz w:val="18"/>
                <w:szCs w:val="18"/>
                <w:color w:val="auto"/>
              </w:rPr>
              <w:t>1,185</w:t>
            </w:r>
          </w:p>
        </w:tc>
        <w:tc>
          <w:tcPr>
            <w:tcW w:w="2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jc w:val="right"/>
              <w:spacing w:after="0" w:line="188"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top w:val="single" w:sz="8" w:color="DDDDDD"/>
            </w:tcBorders>
            <w:shd w:val="clear" w:color="auto" w:fill="DDDDDD"/>
          </w:tcPr>
          <w:p>
            <w:pPr>
              <w:jc w:val="right"/>
              <w:spacing w:after="0" w:line="188" w:lineRule="exact"/>
              <w:rPr>
                <w:sz w:val="20"/>
                <w:szCs w:val="20"/>
                <w:color w:val="auto"/>
              </w:rPr>
            </w:pPr>
            <w:r>
              <w:rPr>
                <w:rFonts w:ascii="Times New Roman" w:cs="Times New Roman" w:eastAsia="Times New Roman" w:hAnsi="Times New Roman"/>
                <w:sz w:val="18"/>
                <w:szCs w:val="18"/>
                <w:color w:val="auto"/>
              </w:rPr>
              <w:t>1,185</w:t>
            </w:r>
          </w:p>
        </w:tc>
        <w:tc>
          <w:tcPr>
            <w:tcW w:w="100" w:type="dxa"/>
            <w:vAlign w:val="bottom"/>
            <w:tcBorders>
              <w:top w:val="single" w:sz="8" w:color="DDDDDD"/>
            </w:tcBorders>
            <w:shd w:val="clear" w:color="auto" w:fill="DDDDDD"/>
          </w:tcPr>
          <w:p>
            <w:pPr>
              <w:spacing w:after="0"/>
              <w:rPr>
                <w:sz w:val="16"/>
                <w:szCs w:val="16"/>
                <w:color w:val="auto"/>
              </w:rPr>
            </w:pPr>
          </w:p>
        </w:tc>
        <w:tc>
          <w:tcPr>
            <w:tcW w:w="20" w:type="dxa"/>
            <w:vAlign w:val="bottom"/>
            <w:tcBorders>
              <w:top w:val="single" w:sz="8" w:color="auto"/>
            </w:tcBorders>
            <w:shd w:val="clear" w:color="auto" w:fill="DDDDDD"/>
          </w:tcPr>
          <w:p>
            <w:pPr>
              <w:spacing w:after="0"/>
              <w:rPr>
                <w:sz w:val="16"/>
                <w:szCs w:val="16"/>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800" w:type="dxa"/>
            <w:vAlign w:val="bottom"/>
            <w:shd w:val="clear" w:color="auto" w:fill="DDDDDD"/>
          </w:tcPr>
          <w:p>
            <w:pPr>
              <w:spacing w:after="0"/>
              <w:rPr>
                <w:sz w:val="18"/>
                <w:szCs w:val="18"/>
                <w:color w:val="auto"/>
              </w:rPr>
            </w:pPr>
          </w:p>
        </w:tc>
        <w:tc>
          <w:tcPr>
            <w:tcW w:w="5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46"/>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87"/>
        </w:trPr>
        <w:tc>
          <w:tcPr>
            <w:tcW w:w="7560" w:type="dxa"/>
            <w:vAlign w:val="bottom"/>
            <w:tcBorders>
              <w:top w:val="single" w:sz="8" w:color="DDDDDD"/>
            </w:tcBorders>
            <w:shd w:val="clear" w:color="auto" w:fill="DDDDDD"/>
          </w:tcPr>
          <w:p>
            <w:pPr>
              <w:spacing w:after="0" w:line="187" w:lineRule="exact"/>
              <w:rPr>
                <w:sz w:val="20"/>
                <w:szCs w:val="20"/>
                <w:color w:val="auto"/>
              </w:rPr>
            </w:pPr>
            <w:r>
              <w:rPr>
                <w:rFonts w:ascii="Times New Roman" w:cs="Times New Roman" w:eastAsia="Times New Roman" w:hAnsi="Times New Roman"/>
                <w:sz w:val="18"/>
                <w:szCs w:val="18"/>
                <w:color w:val="auto"/>
              </w:rPr>
              <w:t>Total cost</w:t>
            </w:r>
          </w:p>
        </w:tc>
        <w:tc>
          <w:tcPr>
            <w:tcW w:w="1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800" w:type="dxa"/>
            <w:vAlign w:val="bottom"/>
            <w:tcBorders>
              <w:top w:val="single" w:sz="8" w:color="DDDDDD"/>
            </w:tcBorders>
            <w:shd w:val="clear" w:color="auto" w:fill="DDDDDD"/>
          </w:tcPr>
          <w:p>
            <w:pPr>
              <w:spacing w:after="0"/>
              <w:rPr>
                <w:sz w:val="16"/>
                <w:szCs w:val="16"/>
                <w:color w:val="auto"/>
              </w:rPr>
            </w:pPr>
          </w:p>
        </w:tc>
        <w:tc>
          <w:tcPr>
            <w:tcW w:w="5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3,277</w:t>
            </w:r>
          </w:p>
        </w:tc>
        <w:tc>
          <w:tcPr>
            <w:tcW w:w="2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13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3,277</w:t>
            </w:r>
          </w:p>
        </w:tc>
        <w:tc>
          <w:tcPr>
            <w:tcW w:w="100" w:type="dxa"/>
            <w:vAlign w:val="bottom"/>
            <w:tcBorders>
              <w:top w:val="single" w:sz="8" w:color="DDDDDD"/>
            </w:tcBorders>
            <w:shd w:val="clear" w:color="auto" w:fill="DDDDDD"/>
          </w:tcPr>
          <w:p>
            <w:pPr>
              <w:spacing w:after="0"/>
              <w:rPr>
                <w:sz w:val="16"/>
                <w:szCs w:val="16"/>
                <w:color w:val="auto"/>
              </w:rPr>
            </w:pPr>
          </w:p>
        </w:tc>
        <w:tc>
          <w:tcPr>
            <w:tcW w:w="20" w:type="dxa"/>
            <w:vAlign w:val="bottom"/>
            <w:tcBorders>
              <w:top w:val="single" w:sz="8" w:color="auto"/>
            </w:tcBorders>
            <w:shd w:val="clear" w:color="auto" w:fill="DDDDDD"/>
          </w:tcPr>
          <w:p>
            <w:pPr>
              <w:spacing w:after="0"/>
              <w:rPr>
                <w:sz w:val="16"/>
                <w:szCs w:val="16"/>
                <w:color w:val="auto"/>
              </w:rPr>
            </w:pPr>
          </w:p>
        </w:tc>
      </w:tr>
      <w:tr>
        <w:trPr>
          <w:trHeight w:val="245"/>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4"/>
              </w:rPr>
              <w:t>(1,508 )</w:t>
            </w: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(1,432 )</w:t>
            </w:r>
          </w:p>
        </w:tc>
        <w:tc>
          <w:tcPr>
            <w:tcW w:w="20" w:type="dxa"/>
            <w:vAlign w:val="bottom"/>
            <w:tcBorders>
              <w:bottom w:val="single" w:sz="8" w:color="auto"/>
            </w:tcBorders>
          </w:tcPr>
          <w:p>
            <w:pPr>
              <w:spacing w:after="0"/>
              <w:rPr>
                <w:sz w:val="20"/>
                <w:szCs w:val="20"/>
                <w:color w:val="auto"/>
              </w:rPr>
            </w:pPr>
          </w:p>
        </w:tc>
      </w:tr>
      <w:tr>
        <w:trPr>
          <w:trHeight w:val="210"/>
        </w:trPr>
        <w:tc>
          <w:tcPr>
            <w:tcW w:w="756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800" w:type="dxa"/>
            <w:vAlign w:val="bottom"/>
            <w:tcBorders>
              <w:top w:val="single" w:sz="8" w:color="DDDDDD"/>
              <w:bottom w:val="single" w:sz="8" w:color="DDDDDD"/>
            </w:tcBorders>
            <w:shd w:val="clear" w:color="auto" w:fill="DDDDDD"/>
          </w:tcPr>
          <w:p>
            <w:pPr>
              <w:spacing w:after="0"/>
              <w:rPr>
                <w:sz w:val="17"/>
                <w:szCs w:val="17"/>
                <w:color w:val="auto"/>
              </w:rPr>
            </w:pPr>
          </w:p>
        </w:tc>
        <w:tc>
          <w:tcPr>
            <w:tcW w:w="5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1,769</w:t>
            </w:r>
          </w:p>
        </w:tc>
        <w:tc>
          <w:tcPr>
            <w:tcW w:w="22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1,845</w:t>
            </w: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20" w:type="dxa"/>
            <w:vAlign w:val="bottom"/>
            <w:tcBorders>
              <w:top w:val="single" w:sz="8" w:color="auto"/>
              <w:bottom w:val="single" w:sz="8" w:color="DDDDDD"/>
            </w:tcBorders>
            <w:shd w:val="clear" w:color="auto" w:fill="DDDDDD"/>
          </w:tcPr>
          <w:p>
            <w:pPr>
              <w:spacing w:after="0"/>
              <w:rPr>
                <w:sz w:val="17"/>
                <w:szCs w:val="17"/>
                <w:color w:val="auto"/>
              </w:rPr>
            </w:pPr>
          </w:p>
        </w:tc>
      </w:tr>
      <w:tr>
        <w:trPr>
          <w:trHeight w:val="20"/>
        </w:trPr>
        <w:tc>
          <w:tcPr>
            <w:tcW w:w="7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OTHER ASSETS AND OTHER LIABILITIES</w:t>
      </w: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composition of other assets as of December 31, 2025 and 2024 follows: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23495</wp:posOffset>
                </wp:positionV>
                <wp:extent cx="685800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85pt" to="540.2pt,1.85pt" o:allowincell="f" strokecolor="#FFFFFF" strokeweight="0.14pt"/>
            </w:pict>
          </mc:Fallback>
        </mc:AlternateConten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r>
      <w:tr>
        <w:trPr>
          <w:trHeight w:val="187"/>
        </w:trPr>
        <w:tc>
          <w:tcPr>
            <w:tcW w:w="7560" w:type="dxa"/>
            <w:vAlign w:val="bottom"/>
            <w:tcBorders>
              <w:top w:val="single" w:sz="8" w:color="DDDDDD"/>
            </w:tcBorders>
            <w:shd w:val="clear" w:color="auto" w:fill="DDDDDD"/>
          </w:tcPr>
          <w:p>
            <w:pPr>
              <w:spacing w:after="0" w:line="187" w:lineRule="exact"/>
              <w:rPr>
                <w:sz w:val="20"/>
                <w:szCs w:val="20"/>
                <w:color w:val="auto"/>
              </w:rPr>
            </w:pPr>
            <w:r>
              <w:rPr>
                <w:rFonts w:ascii="Times New Roman" w:cs="Times New Roman" w:eastAsia="Times New Roman" w:hAnsi="Times New Roman"/>
                <w:sz w:val="18"/>
                <w:szCs w:val="18"/>
                <w:color w:val="auto"/>
              </w:rPr>
              <w:t>Investment in Bimini Capital Trust II</w:t>
            </w:r>
          </w:p>
        </w:tc>
        <w:tc>
          <w:tcPr>
            <w:tcW w:w="1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840" w:type="dxa"/>
            <w:vAlign w:val="bottom"/>
            <w:tcBorders>
              <w:top w:val="single" w:sz="8" w:color="DDDDDD"/>
            </w:tcBorders>
            <w:shd w:val="clear" w:color="auto" w:fill="DDDDDD"/>
          </w:tcPr>
          <w:p>
            <w:pPr>
              <w:spacing w:after="0"/>
              <w:rPr>
                <w:sz w:val="16"/>
                <w:szCs w:val="16"/>
                <w:color w:val="auto"/>
              </w:rPr>
            </w:pPr>
          </w:p>
        </w:tc>
        <w:tc>
          <w:tcPr>
            <w:tcW w:w="46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804</w:t>
            </w:r>
          </w:p>
        </w:tc>
        <w:tc>
          <w:tcPr>
            <w:tcW w:w="2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804</w:t>
            </w:r>
          </w:p>
        </w:tc>
        <w:tc>
          <w:tcPr>
            <w:tcW w:w="100" w:type="dxa"/>
            <w:vAlign w:val="bottom"/>
            <w:tcBorders>
              <w:top w:val="single" w:sz="8" w:color="DDDDDD"/>
            </w:tcBorders>
            <w:shd w:val="clear" w:color="auto" w:fill="DDDDDD"/>
          </w:tcPr>
          <w:p>
            <w:pPr>
              <w:spacing w:after="0"/>
              <w:rPr>
                <w:sz w:val="16"/>
                <w:szCs w:val="16"/>
                <w:color w:val="auto"/>
              </w:rPr>
            </w:pPr>
          </w:p>
        </w:tc>
        <w:tc>
          <w:tcPr>
            <w:tcW w:w="20" w:type="dxa"/>
            <w:vAlign w:val="bottom"/>
            <w:tcBorders>
              <w:top w:val="single" w:sz="8" w:color="auto"/>
            </w:tcBorders>
            <w:shd w:val="clear" w:color="auto" w:fill="DDDDDD"/>
          </w:tcPr>
          <w:p>
            <w:pPr>
              <w:spacing w:after="0"/>
              <w:rPr>
                <w:sz w:val="16"/>
                <w:szCs w:val="16"/>
                <w:color w:val="auto"/>
              </w:rPr>
            </w:pPr>
          </w:p>
        </w:tc>
      </w:tr>
      <w:tr>
        <w:trPr>
          <w:trHeight w:val="215"/>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8"/>
        </w:trPr>
        <w:tc>
          <w:tcPr>
            <w:tcW w:w="756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spacing w:after="0"/>
              <w:rPr>
                <w:sz w:val="18"/>
                <w:szCs w:val="18"/>
                <w:color w:val="auto"/>
              </w:rPr>
            </w:pPr>
          </w:p>
        </w:tc>
        <w:tc>
          <w:tcPr>
            <w:tcW w:w="840" w:type="dxa"/>
            <w:vAlign w:val="bottom"/>
            <w:tcBorders>
              <w:bottom w:val="single" w:sz="8" w:color="auto"/>
            </w:tcBorders>
            <w:shd w:val="clear" w:color="auto" w:fill="DDDDDD"/>
          </w:tcPr>
          <w:p>
            <w:pPr>
              <w:spacing w:after="0"/>
              <w:rPr>
                <w:sz w:val="18"/>
                <w:szCs w:val="18"/>
                <w:color w:val="auto"/>
              </w:rPr>
            </w:pPr>
          </w:p>
        </w:tc>
        <w:tc>
          <w:tcPr>
            <w:tcW w:w="4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auto"/>
            </w:tcBorders>
            <w:shd w:val="clear" w:color="auto" w:fill="DDDDDD"/>
          </w:tcPr>
          <w:p>
            <w:pPr>
              <w:spacing w:after="0"/>
              <w:rPr>
                <w:sz w:val="18"/>
                <w:szCs w:val="18"/>
                <w:color w:val="auto"/>
              </w:rPr>
            </w:pPr>
          </w:p>
        </w:tc>
        <w:tc>
          <w:tcPr>
            <w:tcW w:w="20" w:type="dxa"/>
            <w:vAlign w:val="bottom"/>
            <w:tcBorders>
              <w:bottom w:val="single" w:sz="8" w:color="auto"/>
            </w:tcBorders>
            <w:shd w:val="clear" w:color="auto" w:fill="DDDDDD"/>
          </w:tcPr>
          <w:p>
            <w:pPr>
              <w:spacing w:after="0"/>
              <w:rPr>
                <w:sz w:val="18"/>
                <w:szCs w:val="18"/>
                <w:color w:val="auto"/>
              </w:rPr>
            </w:pPr>
          </w:p>
        </w:tc>
      </w:tr>
      <w:tr>
        <w:trPr>
          <w:trHeight w:val="230"/>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0"/>
        </w:trPr>
        <w:tc>
          <w:tcPr>
            <w:tcW w:w="7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-324485</wp:posOffset>
                </wp:positionV>
                <wp:extent cx="685800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25.5499pt" to="540.2pt,-25.5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-173990</wp:posOffset>
                </wp:positionV>
                <wp:extent cx="6858000"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90">
                          <a:solidFill>
                            <a:srgbClr val="FFFFFF"/>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3.6999pt" to="540.2pt,-13.6999pt" o:allowincell="f" strokecolor="#FFFFFF" strokeweight="0.140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800"/>
          </w:cols>
          <w:pgMar w:left="720" w:top="785" w:right="720" w:bottom="135" w:gutter="0" w:footer="0" w:header="0"/>
        </w:sectPr>
      </w:pPr>
    </w:p>
    <w:bookmarkStart w:id="67" w:name="page68"/>
    <w:bookmarkEnd w:id="67"/>
    <w:p>
      <w:pPr>
        <w:ind w:left="360"/>
        <w:spacing w:after="0"/>
        <w:rPr>
          <w:sz w:val="20"/>
          <w:szCs w:val="20"/>
          <w:color w:val="auto"/>
        </w:rPr>
      </w:pPr>
      <w:r>
        <w:rPr>
          <w:rFonts w:ascii="Times New Roman" w:cs="Times New Roman" w:eastAsia="Times New Roman" w:hAnsi="Times New Roman"/>
          <w:sz w:val="20"/>
          <w:szCs w:val="20"/>
          <w:color w:val="auto"/>
        </w:rPr>
        <w:t>The composition of other liabilities as of December 31, 2025 and 2024 follows: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23495</wp:posOffset>
                </wp:positionV>
                <wp:extent cx="685800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85pt" to="540.2pt,1.85pt" o:allowincell="f" strokecolor="#FFFFFF" strokeweight="0.14pt"/>
            </w:pict>
          </mc:Fallback>
        </mc:AlternateConten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r>
      <w:tr>
        <w:trPr>
          <w:trHeight w:val="187"/>
        </w:trPr>
        <w:tc>
          <w:tcPr>
            <w:tcW w:w="7560" w:type="dxa"/>
            <w:vAlign w:val="bottom"/>
            <w:tcBorders>
              <w:top w:val="single" w:sz="8" w:color="DDDDDD"/>
            </w:tcBorders>
            <w:shd w:val="clear" w:color="auto" w:fill="DDDDDD"/>
          </w:tcPr>
          <w:p>
            <w:pPr>
              <w:spacing w:after="0" w:line="187" w:lineRule="exact"/>
              <w:rPr>
                <w:sz w:val="20"/>
                <w:szCs w:val="20"/>
                <w:color w:val="auto"/>
              </w:rPr>
            </w:pPr>
            <w:r>
              <w:rPr>
                <w:rFonts w:ascii="Times New Roman" w:cs="Times New Roman" w:eastAsia="Times New Roman" w:hAnsi="Times New Roman"/>
                <w:sz w:val="18"/>
                <w:szCs w:val="18"/>
                <w:color w:val="auto"/>
              </w:rPr>
              <w:t>Accrued payroll</w:t>
            </w:r>
          </w:p>
        </w:tc>
        <w:tc>
          <w:tcPr>
            <w:tcW w:w="1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840" w:type="dxa"/>
            <w:vAlign w:val="bottom"/>
            <w:tcBorders>
              <w:top w:val="single" w:sz="8" w:color="DDDDDD"/>
            </w:tcBorders>
            <w:shd w:val="clear" w:color="auto" w:fill="DDDDDD"/>
          </w:tcPr>
          <w:p>
            <w:pPr>
              <w:spacing w:after="0"/>
              <w:rPr>
                <w:sz w:val="16"/>
                <w:szCs w:val="16"/>
                <w:color w:val="auto"/>
              </w:rPr>
            </w:pPr>
          </w:p>
        </w:tc>
        <w:tc>
          <w:tcPr>
            <w:tcW w:w="46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3,583</w:t>
            </w:r>
          </w:p>
        </w:tc>
        <w:tc>
          <w:tcPr>
            <w:tcW w:w="2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2,867</w:t>
            </w:r>
          </w:p>
        </w:tc>
        <w:tc>
          <w:tcPr>
            <w:tcW w:w="100" w:type="dxa"/>
            <w:vAlign w:val="bottom"/>
            <w:tcBorders>
              <w:top w:val="single" w:sz="8" w:color="DDDDDD"/>
            </w:tcBorders>
            <w:shd w:val="clear" w:color="auto" w:fill="DDDDDD"/>
          </w:tcPr>
          <w:p>
            <w:pPr>
              <w:spacing w:after="0"/>
              <w:rPr>
                <w:sz w:val="16"/>
                <w:szCs w:val="16"/>
                <w:color w:val="auto"/>
              </w:rPr>
            </w:pPr>
          </w:p>
        </w:tc>
        <w:tc>
          <w:tcPr>
            <w:tcW w:w="20" w:type="dxa"/>
            <w:vAlign w:val="bottom"/>
            <w:tcBorders>
              <w:top w:val="single" w:sz="8" w:color="auto"/>
            </w:tcBorders>
            <w:shd w:val="clear" w:color="auto" w:fill="DDDDDD"/>
          </w:tcPr>
          <w:p>
            <w:pPr>
              <w:spacing w:after="0"/>
              <w:rPr>
                <w:sz w:val="16"/>
                <w:szCs w:val="16"/>
                <w:color w:val="auto"/>
              </w:rPr>
            </w:pPr>
          </w:p>
        </w:tc>
      </w:tr>
      <w:tr>
        <w:trPr>
          <w:trHeight w:val="217"/>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756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spacing w:after="0"/>
              <w:rPr>
                <w:sz w:val="18"/>
                <w:szCs w:val="18"/>
                <w:color w:val="auto"/>
              </w:rPr>
            </w:pPr>
          </w:p>
        </w:tc>
        <w:tc>
          <w:tcPr>
            <w:tcW w:w="840" w:type="dxa"/>
            <w:vAlign w:val="bottom"/>
            <w:tcBorders>
              <w:bottom w:val="single" w:sz="8" w:color="auto"/>
            </w:tcBorders>
            <w:shd w:val="clear" w:color="auto" w:fill="DDDDDD"/>
          </w:tcPr>
          <w:p>
            <w:pPr>
              <w:spacing w:after="0"/>
              <w:rPr>
                <w:sz w:val="18"/>
                <w:szCs w:val="18"/>
                <w:color w:val="auto"/>
              </w:rPr>
            </w:pPr>
          </w:p>
        </w:tc>
        <w:tc>
          <w:tcPr>
            <w:tcW w:w="4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2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auto"/>
            </w:tcBorders>
            <w:shd w:val="clear" w:color="auto" w:fill="DDDDDD"/>
          </w:tcPr>
          <w:p>
            <w:pPr>
              <w:spacing w:after="0"/>
              <w:rPr>
                <w:sz w:val="18"/>
                <w:szCs w:val="18"/>
                <w:color w:val="auto"/>
              </w:rPr>
            </w:pPr>
          </w:p>
        </w:tc>
        <w:tc>
          <w:tcPr>
            <w:tcW w:w="20" w:type="dxa"/>
            <w:vAlign w:val="bottom"/>
            <w:tcBorders>
              <w:bottom w:val="single" w:sz="8" w:color="auto"/>
            </w:tcBorders>
            <w:shd w:val="clear" w:color="auto" w:fill="DDDDDD"/>
          </w:tcPr>
          <w:p>
            <w:pPr>
              <w:spacing w:after="0"/>
              <w:rPr>
                <w:sz w:val="18"/>
                <w:szCs w:val="18"/>
                <w:color w:val="auto"/>
              </w:rPr>
            </w:pPr>
          </w:p>
        </w:tc>
      </w:tr>
      <w:tr>
        <w:trPr>
          <w:trHeight w:val="230"/>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other liabilities</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0"/>
        </w:trPr>
        <w:tc>
          <w:tcPr>
            <w:tcW w:w="7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-173990</wp:posOffset>
                </wp:positionV>
                <wp:extent cx="6858000"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6">
                          <a:solidFill>
                            <a:srgbClr val="FFFFFF"/>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3.6999pt" to="540.2pt,-13.6999pt" o:allowincell="f" strokecolor="#FFFFFF" strokeweight="0.1398pt"/>
            </w:pict>
          </mc:Fallback>
        </mc:AlternateConten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REPURCHASE AGREEMENTS</w:t>
      </w:r>
    </w:p>
    <w:p>
      <w:pPr>
        <w:spacing w:after="0" w:line="235" w:lineRule="exact"/>
        <w:rPr>
          <w:sz w:val="20"/>
          <w:szCs w:val="20"/>
          <w:color w:val="auto"/>
        </w:rPr>
      </w:pPr>
    </w:p>
    <w:p>
      <w:pPr>
        <w:ind w:right="40" w:firstLine="360"/>
        <w:spacing w:after="0" w:line="247" w:lineRule="auto"/>
        <w:rPr>
          <w:sz w:val="20"/>
          <w:szCs w:val="20"/>
          <w:color w:val="auto"/>
        </w:rPr>
      </w:pPr>
      <w:r>
        <w:rPr>
          <w:rFonts w:ascii="Times New Roman" w:cs="Times New Roman" w:eastAsia="Times New Roman" w:hAnsi="Times New Roman"/>
          <w:sz w:val="20"/>
          <w:szCs w:val="20"/>
          <w:color w:val="auto"/>
        </w:rPr>
        <w:t>The Company pledges certain of its MBS as collateral under repurchase agreements with financial institutions. Interest rates are generally fixed based on prevailing rates corresponding to the terms of the borrowings, and interest is generally paid at the termination of a borrowing. If the fair value of the pledged securities declines, lenders will typically require the Company to post additional collateral or pay down borrowings to re-establish agreed upon collateral requirements, referred to as "margin calls." Similarly, if the fair value of the pledged securities increases, lenders may release collateral back to the Company. As of December 31, 2025, the Company had met all margin call requirements.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As of December 31, 2025 and 2024, the Company’s repurchase agreements had remaining maturities as summarized below:</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23495</wp:posOffset>
                </wp:positionV>
                <wp:extent cx="685800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85pt" to="540.2pt,1.85pt" o:allowincell="f" strokecolor="#FFFFFF" strokeweight="0.1399pt"/>
            </w:pict>
          </mc:Fallback>
        </mc:AlternateConten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320" w:type="dxa"/>
            <w:vAlign w:val="bottom"/>
            <w:tcBorders>
              <w:top w:val="single" w:sz="8" w:color="auto"/>
            </w:tcBorders>
          </w:tcPr>
          <w:p>
            <w:pPr>
              <w:spacing w:after="0"/>
              <w:rPr>
                <w:sz w:val="16"/>
                <w:szCs w:val="16"/>
                <w:color w:val="auto"/>
              </w:rPr>
            </w:pPr>
          </w:p>
        </w:tc>
        <w:tc>
          <w:tcPr>
            <w:tcW w:w="190" w:type="dxa"/>
            <w:vAlign w:val="bottom"/>
            <w:tcBorders>
              <w:top w:val="single" w:sz="8" w:color="auto"/>
            </w:tcBorders>
          </w:tcPr>
          <w:p>
            <w:pPr>
              <w:spacing w:after="0"/>
              <w:rPr>
                <w:sz w:val="16"/>
                <w:szCs w:val="16"/>
                <w:color w:val="auto"/>
              </w:rPr>
            </w:pPr>
          </w:p>
        </w:tc>
        <w:tc>
          <w:tcPr>
            <w:tcW w:w="87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8"/>
              </w:rPr>
              <w:t>Overnight</w:t>
            </w: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150"/>
              <w:spacing w:after="0" w:line="191" w:lineRule="exact"/>
              <w:rPr>
                <w:sz w:val="20"/>
                <w:szCs w:val="20"/>
                <w:color w:val="auto"/>
              </w:rPr>
            </w:pPr>
            <w:r>
              <w:rPr>
                <w:rFonts w:ascii="Times New Roman" w:cs="Times New Roman" w:eastAsia="Times New Roman" w:hAnsi="Times New Roman"/>
                <w:sz w:val="18"/>
                <w:szCs w:val="18"/>
                <w:b w:val="1"/>
                <w:bCs w:val="1"/>
                <w:color w:val="auto"/>
              </w:rPr>
              <w:t>Between</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170"/>
              <w:spacing w:after="0" w:line="191" w:lineRule="exact"/>
              <w:rPr>
                <w:sz w:val="20"/>
                <w:szCs w:val="20"/>
                <w:color w:val="auto"/>
              </w:rPr>
            </w:pPr>
            <w:r>
              <w:rPr>
                <w:rFonts w:ascii="Times New Roman" w:cs="Times New Roman" w:eastAsia="Times New Roman" w:hAnsi="Times New Roman"/>
                <w:sz w:val="18"/>
                <w:szCs w:val="18"/>
                <w:b w:val="1"/>
                <w:bCs w:val="1"/>
                <w:color w:val="auto"/>
              </w:rPr>
              <w:t>Between</w:t>
            </w: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00"/>
              <w:spacing w:after="0" w:line="191" w:lineRule="exact"/>
              <w:rPr>
                <w:sz w:val="20"/>
                <w:szCs w:val="20"/>
                <w:color w:val="auto"/>
              </w:rPr>
            </w:pPr>
            <w:r>
              <w:rPr>
                <w:rFonts w:ascii="Times New Roman" w:cs="Times New Roman" w:eastAsia="Times New Roman" w:hAnsi="Times New Roman"/>
                <w:sz w:val="18"/>
                <w:szCs w:val="18"/>
                <w:b w:val="1"/>
                <w:bCs w:val="1"/>
                <w:color w:val="auto"/>
              </w:rPr>
              <w:t>Greater</w:t>
            </w: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r>
      <w:tr>
        <w:trPr>
          <w:trHeight w:val="217"/>
        </w:trPr>
        <w:tc>
          <w:tcPr>
            <w:tcW w:w="432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87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 Day</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2 and</w:t>
            </w:r>
          </w:p>
        </w:tc>
        <w:tc>
          <w:tcPr>
            <w:tcW w:w="200" w:type="dxa"/>
            <w:vAlign w:val="bottom"/>
          </w:tcPr>
          <w:p>
            <w:pPr>
              <w:spacing w:after="0"/>
              <w:rPr>
                <w:sz w:val="18"/>
                <w:szCs w:val="18"/>
                <w:color w:val="auto"/>
              </w:rPr>
            </w:pPr>
          </w:p>
        </w:tc>
        <w:tc>
          <w:tcPr>
            <w:tcW w:w="112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31 and</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Than</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5"/>
        </w:trPr>
        <w:tc>
          <w:tcPr>
            <w:tcW w:w="4320" w:type="dxa"/>
            <w:vAlign w:val="bottom"/>
            <w:tcBorders>
              <w:bottom w:val="single" w:sz="8" w:color="auto"/>
            </w:tcBorders>
          </w:tcPr>
          <w:p>
            <w:pPr>
              <w:spacing w:after="0"/>
              <w:rPr>
                <w:sz w:val="20"/>
                <w:szCs w:val="20"/>
                <w:color w:val="auto"/>
              </w:rPr>
            </w:pPr>
          </w:p>
        </w:tc>
        <w:tc>
          <w:tcPr>
            <w:tcW w:w="190" w:type="dxa"/>
            <w:vAlign w:val="bottom"/>
            <w:tcBorders>
              <w:bottom w:val="single" w:sz="8" w:color="auto"/>
            </w:tcBorders>
          </w:tcPr>
          <w:p>
            <w:pPr>
              <w:spacing w:after="0"/>
              <w:rPr>
                <w:sz w:val="20"/>
                <w:szCs w:val="20"/>
                <w:color w:val="auto"/>
              </w:rPr>
            </w:pPr>
          </w:p>
        </w:tc>
        <w:tc>
          <w:tcPr>
            <w:tcW w:w="87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or Less)</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30 DAYS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90 Days</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90 Days</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5"/>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90" w:type="dxa"/>
            <w:vAlign w:val="bottom"/>
            <w:tcBorders>
              <w:bottom w:val="single" w:sz="8" w:color="auto"/>
            </w:tcBorders>
          </w:tcPr>
          <w:p>
            <w:pPr>
              <w:spacing w:after="0"/>
              <w:rPr>
                <w:sz w:val="20"/>
                <w:szCs w:val="20"/>
                <w:color w:val="auto"/>
              </w:rPr>
            </w:pPr>
          </w:p>
        </w:tc>
        <w:tc>
          <w:tcPr>
            <w:tcW w:w="87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r>
      <w:tr>
        <w:trPr>
          <w:trHeight w:val="182"/>
        </w:trPr>
        <w:tc>
          <w:tcPr>
            <w:tcW w:w="4320" w:type="dxa"/>
            <w:vAlign w:val="bottom"/>
            <w:tcBorders>
              <w:top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rPr>
              <w:t>Fair value of securities pledged, including accrued interest</w:t>
            </w:r>
          </w:p>
        </w:tc>
        <w:tc>
          <w:tcPr>
            <w:tcW w:w="190" w:type="dxa"/>
            <w:vAlign w:val="bottom"/>
            <w:tcBorders>
              <w:top w:val="single" w:sz="8" w:color="DDDDDD"/>
            </w:tcBorders>
            <w:shd w:val="clear" w:color="auto" w:fill="DDDDDD"/>
          </w:tcPr>
          <w:p>
            <w:pPr>
              <w:spacing w:after="0"/>
              <w:rPr>
                <w:sz w:val="15"/>
                <w:szCs w:val="15"/>
                <w:color w:val="auto"/>
              </w:rPr>
            </w:pPr>
          </w:p>
        </w:tc>
        <w:tc>
          <w:tcPr>
            <w:tcW w:w="870" w:type="dxa"/>
            <w:vAlign w:val="bottom"/>
            <w:tcBorders>
              <w:top w:val="single" w:sz="8" w:color="DDDDDD"/>
            </w:tcBorders>
            <w:shd w:val="clear" w:color="auto" w:fill="DDDDDD"/>
          </w:tcPr>
          <w:p>
            <w:pPr>
              <w:spacing w:after="0"/>
              <w:rPr>
                <w:sz w:val="15"/>
                <w:szCs w:val="15"/>
                <w:color w:val="auto"/>
              </w:rPr>
            </w:pPr>
          </w:p>
        </w:tc>
        <w:tc>
          <w:tcPr>
            <w:tcW w:w="100" w:type="dxa"/>
            <w:vAlign w:val="bottom"/>
            <w:tcBorders>
              <w:top w:val="single" w:sz="8" w:color="DDDDDD"/>
            </w:tcBorders>
            <w:shd w:val="clear" w:color="auto" w:fill="DDDDDD"/>
          </w:tcPr>
          <w:p>
            <w:pPr>
              <w:spacing w:after="0"/>
              <w:rPr>
                <w:sz w:val="15"/>
                <w:szCs w:val="15"/>
                <w:color w:val="auto"/>
              </w:rPr>
            </w:pPr>
          </w:p>
        </w:tc>
        <w:tc>
          <w:tcPr>
            <w:tcW w:w="280" w:type="dxa"/>
            <w:vAlign w:val="bottom"/>
            <w:tcBorders>
              <w:top w:val="single" w:sz="8" w:color="DDDDDD"/>
            </w:tcBorders>
            <w:shd w:val="clear" w:color="auto" w:fill="DDDDDD"/>
          </w:tcPr>
          <w:p>
            <w:pPr>
              <w:spacing w:after="0"/>
              <w:rPr>
                <w:sz w:val="15"/>
                <w:szCs w:val="15"/>
                <w:color w:val="auto"/>
              </w:rPr>
            </w:pPr>
          </w:p>
        </w:tc>
        <w:tc>
          <w:tcPr>
            <w:tcW w:w="980" w:type="dxa"/>
            <w:vAlign w:val="bottom"/>
            <w:tcBorders>
              <w:top w:val="single" w:sz="8" w:color="DDDDDD"/>
            </w:tcBorders>
            <w:shd w:val="clear" w:color="auto" w:fill="DDDDDD"/>
          </w:tcPr>
          <w:p>
            <w:pPr>
              <w:spacing w:after="0"/>
              <w:rPr>
                <w:sz w:val="15"/>
                <w:szCs w:val="15"/>
                <w:color w:val="auto"/>
              </w:rPr>
            </w:pPr>
          </w:p>
        </w:tc>
        <w:tc>
          <w:tcPr>
            <w:tcW w:w="160" w:type="dxa"/>
            <w:vAlign w:val="bottom"/>
            <w:tcBorders>
              <w:top w:val="single" w:sz="8" w:color="DDDDDD"/>
            </w:tcBorders>
            <w:shd w:val="clear" w:color="auto" w:fill="DDDDDD"/>
          </w:tcPr>
          <w:p>
            <w:pPr>
              <w:spacing w:after="0"/>
              <w:rPr>
                <w:sz w:val="15"/>
                <w:szCs w:val="15"/>
                <w:color w:val="auto"/>
              </w:rPr>
            </w:pPr>
          </w:p>
        </w:tc>
        <w:tc>
          <w:tcPr>
            <w:tcW w:w="200" w:type="dxa"/>
            <w:vAlign w:val="bottom"/>
            <w:tcBorders>
              <w:top w:val="single" w:sz="8" w:color="DDDDDD"/>
            </w:tcBorders>
            <w:shd w:val="clear" w:color="auto" w:fill="DDDDDD"/>
          </w:tcPr>
          <w:p>
            <w:pPr>
              <w:spacing w:after="0"/>
              <w:rPr>
                <w:sz w:val="15"/>
                <w:szCs w:val="15"/>
                <w:color w:val="auto"/>
              </w:rPr>
            </w:pPr>
          </w:p>
        </w:tc>
        <w:tc>
          <w:tcPr>
            <w:tcW w:w="960" w:type="dxa"/>
            <w:vAlign w:val="bottom"/>
            <w:tcBorders>
              <w:top w:val="single" w:sz="8" w:color="DDDDDD"/>
            </w:tcBorders>
            <w:shd w:val="clear" w:color="auto" w:fill="DDDDDD"/>
          </w:tcPr>
          <w:p>
            <w:pPr>
              <w:spacing w:after="0"/>
              <w:rPr>
                <w:sz w:val="15"/>
                <w:szCs w:val="15"/>
                <w:color w:val="auto"/>
              </w:rPr>
            </w:pPr>
          </w:p>
        </w:tc>
        <w:tc>
          <w:tcPr>
            <w:tcW w:w="160" w:type="dxa"/>
            <w:vAlign w:val="bottom"/>
            <w:tcBorders>
              <w:top w:val="single" w:sz="8" w:color="DDDDDD"/>
            </w:tcBorders>
            <w:shd w:val="clear" w:color="auto" w:fill="DDDDDD"/>
          </w:tcPr>
          <w:p>
            <w:pPr>
              <w:spacing w:after="0"/>
              <w:rPr>
                <w:sz w:val="15"/>
                <w:szCs w:val="15"/>
                <w:color w:val="auto"/>
              </w:rPr>
            </w:pPr>
          </w:p>
        </w:tc>
        <w:tc>
          <w:tcPr>
            <w:tcW w:w="200" w:type="dxa"/>
            <w:vAlign w:val="bottom"/>
            <w:tcBorders>
              <w:top w:val="single" w:sz="8" w:color="DDDDDD"/>
            </w:tcBorders>
            <w:shd w:val="clear" w:color="auto" w:fill="DDDDDD"/>
          </w:tcPr>
          <w:p>
            <w:pPr>
              <w:spacing w:after="0"/>
              <w:rPr>
                <w:sz w:val="15"/>
                <w:szCs w:val="15"/>
                <w:color w:val="auto"/>
              </w:rPr>
            </w:pPr>
          </w:p>
        </w:tc>
        <w:tc>
          <w:tcPr>
            <w:tcW w:w="960" w:type="dxa"/>
            <w:vAlign w:val="bottom"/>
            <w:tcBorders>
              <w:top w:val="single" w:sz="8" w:color="DDDDDD"/>
            </w:tcBorders>
            <w:shd w:val="clear" w:color="auto" w:fill="DDDDDD"/>
          </w:tcPr>
          <w:p>
            <w:pPr>
              <w:spacing w:after="0"/>
              <w:rPr>
                <w:sz w:val="15"/>
                <w:szCs w:val="15"/>
                <w:color w:val="auto"/>
              </w:rPr>
            </w:pPr>
          </w:p>
        </w:tc>
        <w:tc>
          <w:tcPr>
            <w:tcW w:w="200" w:type="dxa"/>
            <w:vAlign w:val="bottom"/>
            <w:tcBorders>
              <w:top w:val="single" w:sz="8" w:color="DDDDDD"/>
            </w:tcBorders>
            <w:shd w:val="clear" w:color="auto" w:fill="DDDDDD"/>
          </w:tcPr>
          <w:p>
            <w:pPr>
              <w:spacing w:after="0"/>
              <w:rPr>
                <w:sz w:val="15"/>
                <w:szCs w:val="15"/>
                <w:color w:val="auto"/>
              </w:rPr>
            </w:pPr>
          </w:p>
        </w:tc>
        <w:tc>
          <w:tcPr>
            <w:tcW w:w="100" w:type="dxa"/>
            <w:vAlign w:val="bottom"/>
            <w:tcBorders>
              <w:top w:val="single" w:sz="8" w:color="DDDDDD"/>
            </w:tcBorders>
            <w:shd w:val="clear" w:color="auto" w:fill="DDDDDD"/>
          </w:tcPr>
          <w:p>
            <w:pPr>
              <w:spacing w:after="0"/>
              <w:rPr>
                <w:sz w:val="15"/>
                <w:szCs w:val="15"/>
                <w:color w:val="auto"/>
              </w:rPr>
            </w:pPr>
          </w:p>
        </w:tc>
        <w:tc>
          <w:tcPr>
            <w:tcW w:w="980" w:type="dxa"/>
            <w:vAlign w:val="bottom"/>
            <w:tcBorders>
              <w:top w:val="single" w:sz="8" w:color="DDDDDD"/>
            </w:tcBorders>
            <w:shd w:val="clear" w:color="auto" w:fill="DDDDDD"/>
          </w:tcPr>
          <w:p>
            <w:pPr>
              <w:spacing w:after="0"/>
              <w:rPr>
                <w:sz w:val="15"/>
                <w:szCs w:val="15"/>
                <w:color w:val="auto"/>
              </w:rPr>
            </w:pPr>
          </w:p>
        </w:tc>
        <w:tc>
          <w:tcPr>
            <w:tcW w:w="140" w:type="dxa"/>
            <w:vAlign w:val="bottom"/>
            <w:tcBorders>
              <w:top w:val="single" w:sz="8" w:color="DDDDDD"/>
            </w:tcBorders>
            <w:shd w:val="clear" w:color="auto" w:fill="DDDDDD"/>
          </w:tcPr>
          <w:p>
            <w:pPr>
              <w:spacing w:after="0"/>
              <w:rPr>
                <w:sz w:val="15"/>
                <w:szCs w:val="15"/>
                <w:color w:val="auto"/>
              </w:rPr>
            </w:pPr>
          </w:p>
        </w:tc>
      </w:tr>
      <w:tr>
        <w:trPr>
          <w:trHeight w:val="208"/>
        </w:trPr>
        <w:tc>
          <w:tcPr>
            <w:tcW w:w="432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receivable</w:t>
            </w:r>
          </w:p>
        </w:tc>
        <w:tc>
          <w:tcPr>
            <w:tcW w:w="19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87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70,681</w:t>
            </w:r>
          </w:p>
        </w:tc>
        <w:tc>
          <w:tcPr>
            <w:tcW w:w="16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18,539</w:t>
            </w:r>
          </w:p>
        </w:tc>
        <w:tc>
          <w:tcPr>
            <w:tcW w:w="16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89,220</w:t>
            </w:r>
          </w:p>
        </w:tc>
        <w:tc>
          <w:tcPr>
            <w:tcW w:w="140" w:type="dxa"/>
            <w:vAlign w:val="bottom"/>
            <w:tcBorders>
              <w:bottom w:val="single" w:sz="8" w:color="DDDDDD"/>
            </w:tcBorders>
            <w:shd w:val="clear" w:color="auto" w:fill="DDDDDD"/>
          </w:tcPr>
          <w:p>
            <w:pPr>
              <w:spacing w:after="0"/>
              <w:rPr>
                <w:sz w:val="18"/>
                <w:szCs w:val="18"/>
                <w:color w:val="auto"/>
              </w:rPr>
            </w:pPr>
          </w:p>
        </w:tc>
      </w:tr>
      <w:tr>
        <w:trPr>
          <w:trHeight w:val="178"/>
        </w:trPr>
        <w:tc>
          <w:tcPr>
            <w:tcW w:w="43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Repurchase agreement liabilities associated with these</w:t>
            </w:r>
          </w:p>
        </w:tc>
        <w:tc>
          <w:tcPr>
            <w:tcW w:w="190" w:type="dxa"/>
            <w:vAlign w:val="bottom"/>
          </w:tcPr>
          <w:p>
            <w:pPr>
              <w:spacing w:after="0"/>
              <w:rPr>
                <w:sz w:val="15"/>
                <w:szCs w:val="15"/>
                <w:color w:val="auto"/>
              </w:rPr>
            </w:pPr>
          </w:p>
        </w:tc>
        <w:tc>
          <w:tcPr>
            <w:tcW w:w="87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31"/>
        </w:trPr>
        <w:tc>
          <w:tcPr>
            <w:tcW w:w="432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18"/>
                <w:szCs w:val="18"/>
                <w:color w:val="auto"/>
              </w:rPr>
              <w:t>securities</w:t>
            </w:r>
          </w:p>
        </w:tc>
        <w:tc>
          <w:tcPr>
            <w:tcW w:w="19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70" w:type="dxa"/>
            <w:vAlign w:val="bottom"/>
            <w:tcBorders>
              <w:bottom w:val="single" w:sz="8" w:color="DDDDDD"/>
            </w:tcBorders>
          </w:tcPr>
          <w:p>
            <w:pPr>
              <w:spacing w:after="0"/>
              <w:rPr>
                <w:sz w:val="20"/>
                <w:szCs w:val="20"/>
                <w:color w:val="auto"/>
              </w:rPr>
            </w:pPr>
          </w:p>
        </w:tc>
        <w:tc>
          <w:tcPr>
            <w:tcW w:w="1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67,669</w:t>
            </w:r>
          </w:p>
        </w:tc>
        <w:tc>
          <w:tcPr>
            <w:tcW w:w="160" w:type="dxa"/>
            <w:vAlign w:val="bottom"/>
            <w:tcBorders>
              <w:bottom w:val="single" w:sz="8" w:color="DDDDDD"/>
            </w:tcBorders>
          </w:tcPr>
          <w:p>
            <w:pPr>
              <w:spacing w:after="0"/>
              <w:rPr>
                <w:sz w:val="20"/>
                <w:szCs w:val="20"/>
                <w:color w:val="auto"/>
              </w:rPr>
            </w:pPr>
          </w:p>
        </w:tc>
        <w:tc>
          <w:tcPr>
            <w:tcW w:w="2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17,657</w:t>
            </w:r>
          </w:p>
        </w:tc>
        <w:tc>
          <w:tcPr>
            <w:tcW w:w="160" w:type="dxa"/>
            <w:vAlign w:val="bottom"/>
            <w:tcBorders>
              <w:bottom w:val="single" w:sz="8" w:color="DDDDDD"/>
            </w:tcBorders>
          </w:tcPr>
          <w:p>
            <w:pPr>
              <w:spacing w:after="0"/>
              <w:rPr>
                <w:sz w:val="20"/>
                <w:szCs w:val="20"/>
                <w:color w:val="auto"/>
              </w:rPr>
            </w:pPr>
          </w:p>
        </w:tc>
        <w:tc>
          <w:tcPr>
            <w:tcW w:w="2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DDDDDD"/>
            </w:tcBorders>
          </w:tcPr>
          <w:p>
            <w:pPr>
              <w:spacing w:after="0"/>
              <w:rPr>
                <w:sz w:val="20"/>
                <w:szCs w:val="20"/>
                <w:color w:val="auto"/>
              </w:rPr>
            </w:pPr>
          </w:p>
        </w:tc>
        <w:tc>
          <w:tcPr>
            <w:tcW w:w="1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85,326</w:t>
            </w:r>
          </w:p>
        </w:tc>
        <w:tc>
          <w:tcPr>
            <w:tcW w:w="140" w:type="dxa"/>
            <w:vAlign w:val="bottom"/>
            <w:tcBorders>
              <w:bottom w:val="single" w:sz="8" w:color="DDDDDD"/>
            </w:tcBorders>
          </w:tcPr>
          <w:p>
            <w:pPr>
              <w:spacing w:after="0"/>
              <w:rPr>
                <w:sz w:val="20"/>
                <w:szCs w:val="20"/>
                <w:color w:val="auto"/>
              </w:rPr>
            </w:pPr>
          </w:p>
        </w:tc>
      </w:tr>
      <w:tr>
        <w:trPr>
          <w:trHeight w:val="194"/>
        </w:trPr>
        <w:tc>
          <w:tcPr>
            <w:tcW w:w="4320" w:type="dxa"/>
            <w:vAlign w:val="bottom"/>
            <w:tcBorders>
              <w:bottom w:val="single" w:sz="8" w:color="auto"/>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Net weighted average borrowing rate</w:t>
            </w:r>
          </w:p>
        </w:tc>
        <w:tc>
          <w:tcPr>
            <w:tcW w:w="190" w:type="dxa"/>
            <w:vAlign w:val="bottom"/>
            <w:tcBorders>
              <w:bottom w:val="single" w:sz="8" w:color="auto"/>
            </w:tcBorders>
            <w:shd w:val="clear" w:color="auto" w:fill="DDDDDD"/>
          </w:tcPr>
          <w:p>
            <w:pPr>
              <w:spacing w:after="0"/>
              <w:rPr>
                <w:sz w:val="16"/>
                <w:szCs w:val="16"/>
                <w:color w:val="auto"/>
              </w:rPr>
            </w:pPr>
          </w:p>
        </w:tc>
        <w:tc>
          <w:tcPr>
            <w:tcW w:w="87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4.00</w:t>
            </w:r>
          </w:p>
        </w:tc>
        <w:tc>
          <w:tcPr>
            <w:tcW w:w="16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200" w:type="dxa"/>
            <w:vAlign w:val="bottom"/>
            <w:tcBorders>
              <w:bottom w:val="single" w:sz="8" w:color="auto"/>
            </w:tcBorders>
            <w:shd w:val="clear" w:color="auto" w:fill="DDDDDD"/>
          </w:tcPr>
          <w:p>
            <w:pPr>
              <w:spacing w:after="0"/>
              <w:rPr>
                <w:sz w:val="16"/>
                <w:szCs w:val="16"/>
                <w:color w:val="auto"/>
              </w:rPr>
            </w:pPr>
          </w:p>
        </w:tc>
        <w:tc>
          <w:tcPr>
            <w:tcW w:w="96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3.89</w:t>
            </w:r>
          </w:p>
        </w:tc>
        <w:tc>
          <w:tcPr>
            <w:tcW w:w="16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200" w:type="dxa"/>
            <w:vAlign w:val="bottom"/>
            <w:tcBorders>
              <w:bottom w:val="single" w:sz="8" w:color="auto"/>
            </w:tcBorders>
            <w:shd w:val="clear" w:color="auto" w:fill="DDDDDD"/>
          </w:tcPr>
          <w:p>
            <w:pPr>
              <w:spacing w:after="0"/>
              <w:rPr>
                <w:sz w:val="16"/>
                <w:szCs w:val="16"/>
                <w:color w:val="auto"/>
              </w:rPr>
            </w:pPr>
          </w:p>
        </w:tc>
        <w:tc>
          <w:tcPr>
            <w:tcW w:w="96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3.98</w:t>
            </w:r>
          </w:p>
        </w:tc>
        <w:tc>
          <w:tcPr>
            <w:tcW w:w="14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r>
      <w:tr>
        <w:trPr>
          <w:trHeight w:val="241"/>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90" w:type="dxa"/>
            <w:vAlign w:val="bottom"/>
            <w:tcBorders>
              <w:bottom w:val="single" w:sz="8" w:color="auto"/>
            </w:tcBorders>
          </w:tcPr>
          <w:p>
            <w:pPr>
              <w:spacing w:after="0"/>
              <w:rPr>
                <w:sz w:val="20"/>
                <w:szCs w:val="20"/>
                <w:color w:val="auto"/>
              </w:rPr>
            </w:pPr>
          </w:p>
        </w:tc>
        <w:tc>
          <w:tcPr>
            <w:tcW w:w="87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r>
      <w:tr>
        <w:trPr>
          <w:trHeight w:val="182"/>
        </w:trPr>
        <w:tc>
          <w:tcPr>
            <w:tcW w:w="4320" w:type="dxa"/>
            <w:vAlign w:val="bottom"/>
            <w:tcBorders>
              <w:top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rPr>
              <w:t>Fair value of securities pledged, including accrued interest</w:t>
            </w:r>
          </w:p>
        </w:tc>
        <w:tc>
          <w:tcPr>
            <w:tcW w:w="190" w:type="dxa"/>
            <w:vAlign w:val="bottom"/>
            <w:tcBorders>
              <w:top w:val="single" w:sz="8" w:color="DDDDDD"/>
            </w:tcBorders>
            <w:shd w:val="clear" w:color="auto" w:fill="DDDDDD"/>
          </w:tcPr>
          <w:p>
            <w:pPr>
              <w:spacing w:after="0"/>
              <w:rPr>
                <w:sz w:val="15"/>
                <w:szCs w:val="15"/>
                <w:color w:val="auto"/>
              </w:rPr>
            </w:pPr>
          </w:p>
        </w:tc>
        <w:tc>
          <w:tcPr>
            <w:tcW w:w="870" w:type="dxa"/>
            <w:vAlign w:val="bottom"/>
            <w:tcBorders>
              <w:top w:val="single" w:sz="8" w:color="DDDDDD"/>
            </w:tcBorders>
            <w:shd w:val="clear" w:color="auto" w:fill="DDDDDD"/>
          </w:tcPr>
          <w:p>
            <w:pPr>
              <w:spacing w:after="0"/>
              <w:rPr>
                <w:sz w:val="15"/>
                <w:szCs w:val="15"/>
                <w:color w:val="auto"/>
              </w:rPr>
            </w:pPr>
          </w:p>
        </w:tc>
        <w:tc>
          <w:tcPr>
            <w:tcW w:w="100" w:type="dxa"/>
            <w:vAlign w:val="bottom"/>
            <w:tcBorders>
              <w:top w:val="single" w:sz="8" w:color="DDDDDD"/>
            </w:tcBorders>
            <w:shd w:val="clear" w:color="auto" w:fill="DDDDDD"/>
          </w:tcPr>
          <w:p>
            <w:pPr>
              <w:spacing w:after="0"/>
              <w:rPr>
                <w:sz w:val="15"/>
                <w:szCs w:val="15"/>
                <w:color w:val="auto"/>
              </w:rPr>
            </w:pPr>
          </w:p>
        </w:tc>
        <w:tc>
          <w:tcPr>
            <w:tcW w:w="280" w:type="dxa"/>
            <w:vAlign w:val="bottom"/>
            <w:tcBorders>
              <w:top w:val="single" w:sz="8" w:color="DDDDDD"/>
            </w:tcBorders>
            <w:shd w:val="clear" w:color="auto" w:fill="DDDDDD"/>
          </w:tcPr>
          <w:p>
            <w:pPr>
              <w:spacing w:after="0"/>
              <w:rPr>
                <w:sz w:val="15"/>
                <w:szCs w:val="15"/>
                <w:color w:val="auto"/>
              </w:rPr>
            </w:pPr>
          </w:p>
        </w:tc>
        <w:tc>
          <w:tcPr>
            <w:tcW w:w="980" w:type="dxa"/>
            <w:vAlign w:val="bottom"/>
            <w:tcBorders>
              <w:top w:val="single" w:sz="8" w:color="DDDDDD"/>
            </w:tcBorders>
            <w:shd w:val="clear" w:color="auto" w:fill="DDDDDD"/>
          </w:tcPr>
          <w:p>
            <w:pPr>
              <w:spacing w:after="0"/>
              <w:rPr>
                <w:sz w:val="15"/>
                <w:szCs w:val="15"/>
                <w:color w:val="auto"/>
              </w:rPr>
            </w:pPr>
          </w:p>
        </w:tc>
        <w:tc>
          <w:tcPr>
            <w:tcW w:w="160" w:type="dxa"/>
            <w:vAlign w:val="bottom"/>
            <w:tcBorders>
              <w:top w:val="single" w:sz="8" w:color="DDDDDD"/>
            </w:tcBorders>
            <w:shd w:val="clear" w:color="auto" w:fill="DDDDDD"/>
          </w:tcPr>
          <w:p>
            <w:pPr>
              <w:spacing w:after="0"/>
              <w:rPr>
                <w:sz w:val="15"/>
                <w:szCs w:val="15"/>
                <w:color w:val="auto"/>
              </w:rPr>
            </w:pPr>
          </w:p>
        </w:tc>
        <w:tc>
          <w:tcPr>
            <w:tcW w:w="200" w:type="dxa"/>
            <w:vAlign w:val="bottom"/>
            <w:tcBorders>
              <w:top w:val="single" w:sz="8" w:color="DDDDDD"/>
            </w:tcBorders>
            <w:shd w:val="clear" w:color="auto" w:fill="DDDDDD"/>
          </w:tcPr>
          <w:p>
            <w:pPr>
              <w:spacing w:after="0"/>
              <w:rPr>
                <w:sz w:val="15"/>
                <w:szCs w:val="15"/>
                <w:color w:val="auto"/>
              </w:rPr>
            </w:pPr>
          </w:p>
        </w:tc>
        <w:tc>
          <w:tcPr>
            <w:tcW w:w="960" w:type="dxa"/>
            <w:vAlign w:val="bottom"/>
            <w:tcBorders>
              <w:top w:val="single" w:sz="8" w:color="DDDDDD"/>
            </w:tcBorders>
            <w:shd w:val="clear" w:color="auto" w:fill="DDDDDD"/>
          </w:tcPr>
          <w:p>
            <w:pPr>
              <w:spacing w:after="0"/>
              <w:rPr>
                <w:sz w:val="15"/>
                <w:szCs w:val="15"/>
                <w:color w:val="auto"/>
              </w:rPr>
            </w:pPr>
          </w:p>
        </w:tc>
        <w:tc>
          <w:tcPr>
            <w:tcW w:w="160" w:type="dxa"/>
            <w:vAlign w:val="bottom"/>
            <w:tcBorders>
              <w:top w:val="single" w:sz="8" w:color="DDDDDD"/>
            </w:tcBorders>
            <w:shd w:val="clear" w:color="auto" w:fill="DDDDDD"/>
          </w:tcPr>
          <w:p>
            <w:pPr>
              <w:spacing w:after="0"/>
              <w:rPr>
                <w:sz w:val="15"/>
                <w:szCs w:val="15"/>
                <w:color w:val="auto"/>
              </w:rPr>
            </w:pPr>
          </w:p>
        </w:tc>
        <w:tc>
          <w:tcPr>
            <w:tcW w:w="200" w:type="dxa"/>
            <w:vAlign w:val="bottom"/>
            <w:tcBorders>
              <w:top w:val="single" w:sz="8" w:color="DDDDDD"/>
            </w:tcBorders>
            <w:shd w:val="clear" w:color="auto" w:fill="DDDDDD"/>
          </w:tcPr>
          <w:p>
            <w:pPr>
              <w:spacing w:after="0"/>
              <w:rPr>
                <w:sz w:val="15"/>
                <w:szCs w:val="15"/>
                <w:color w:val="auto"/>
              </w:rPr>
            </w:pPr>
          </w:p>
        </w:tc>
        <w:tc>
          <w:tcPr>
            <w:tcW w:w="960" w:type="dxa"/>
            <w:vAlign w:val="bottom"/>
            <w:tcBorders>
              <w:top w:val="single" w:sz="8" w:color="DDDDDD"/>
            </w:tcBorders>
            <w:shd w:val="clear" w:color="auto" w:fill="DDDDDD"/>
          </w:tcPr>
          <w:p>
            <w:pPr>
              <w:spacing w:after="0"/>
              <w:rPr>
                <w:sz w:val="15"/>
                <w:szCs w:val="15"/>
                <w:color w:val="auto"/>
              </w:rPr>
            </w:pPr>
          </w:p>
        </w:tc>
        <w:tc>
          <w:tcPr>
            <w:tcW w:w="200" w:type="dxa"/>
            <w:vAlign w:val="bottom"/>
            <w:tcBorders>
              <w:top w:val="single" w:sz="8" w:color="DDDDDD"/>
            </w:tcBorders>
            <w:shd w:val="clear" w:color="auto" w:fill="DDDDDD"/>
          </w:tcPr>
          <w:p>
            <w:pPr>
              <w:spacing w:after="0"/>
              <w:rPr>
                <w:sz w:val="15"/>
                <w:szCs w:val="15"/>
                <w:color w:val="auto"/>
              </w:rPr>
            </w:pPr>
          </w:p>
        </w:tc>
        <w:tc>
          <w:tcPr>
            <w:tcW w:w="100" w:type="dxa"/>
            <w:vAlign w:val="bottom"/>
            <w:tcBorders>
              <w:top w:val="single" w:sz="8" w:color="DDDDDD"/>
            </w:tcBorders>
            <w:shd w:val="clear" w:color="auto" w:fill="DDDDDD"/>
          </w:tcPr>
          <w:p>
            <w:pPr>
              <w:spacing w:after="0"/>
              <w:rPr>
                <w:sz w:val="15"/>
                <w:szCs w:val="15"/>
                <w:color w:val="auto"/>
              </w:rPr>
            </w:pPr>
          </w:p>
        </w:tc>
        <w:tc>
          <w:tcPr>
            <w:tcW w:w="980" w:type="dxa"/>
            <w:vAlign w:val="bottom"/>
            <w:tcBorders>
              <w:top w:val="single" w:sz="8" w:color="DDDDDD"/>
            </w:tcBorders>
            <w:shd w:val="clear" w:color="auto" w:fill="DDDDDD"/>
          </w:tcPr>
          <w:p>
            <w:pPr>
              <w:spacing w:after="0"/>
              <w:rPr>
                <w:sz w:val="15"/>
                <w:szCs w:val="15"/>
                <w:color w:val="auto"/>
              </w:rPr>
            </w:pPr>
          </w:p>
        </w:tc>
        <w:tc>
          <w:tcPr>
            <w:tcW w:w="140" w:type="dxa"/>
            <w:vAlign w:val="bottom"/>
            <w:tcBorders>
              <w:top w:val="single" w:sz="8" w:color="DDDDDD"/>
            </w:tcBorders>
            <w:shd w:val="clear" w:color="auto" w:fill="DDDDDD"/>
          </w:tcPr>
          <w:p>
            <w:pPr>
              <w:spacing w:after="0"/>
              <w:rPr>
                <w:sz w:val="15"/>
                <w:szCs w:val="15"/>
                <w:color w:val="auto"/>
              </w:rPr>
            </w:pPr>
          </w:p>
        </w:tc>
      </w:tr>
      <w:tr>
        <w:trPr>
          <w:trHeight w:val="207"/>
        </w:trPr>
        <w:tc>
          <w:tcPr>
            <w:tcW w:w="432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receivable</w:t>
            </w:r>
          </w:p>
        </w:tc>
        <w:tc>
          <w:tcPr>
            <w:tcW w:w="19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87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84,954</w:t>
            </w:r>
          </w:p>
        </w:tc>
        <w:tc>
          <w:tcPr>
            <w:tcW w:w="16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17,675</w:t>
            </w:r>
          </w:p>
        </w:tc>
        <w:tc>
          <w:tcPr>
            <w:tcW w:w="16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20,063</w:t>
            </w:r>
          </w:p>
        </w:tc>
        <w:tc>
          <w:tcPr>
            <w:tcW w:w="20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122,692</w:t>
            </w:r>
          </w:p>
        </w:tc>
        <w:tc>
          <w:tcPr>
            <w:tcW w:w="140" w:type="dxa"/>
            <w:vAlign w:val="bottom"/>
            <w:tcBorders>
              <w:bottom w:val="single" w:sz="8" w:color="DDDDDD"/>
            </w:tcBorders>
            <w:shd w:val="clear" w:color="auto" w:fill="DDDDDD"/>
          </w:tcPr>
          <w:p>
            <w:pPr>
              <w:spacing w:after="0"/>
              <w:rPr>
                <w:sz w:val="18"/>
                <w:szCs w:val="18"/>
                <w:color w:val="auto"/>
              </w:rPr>
            </w:pPr>
          </w:p>
        </w:tc>
      </w:tr>
      <w:tr>
        <w:trPr>
          <w:trHeight w:val="178"/>
        </w:trPr>
        <w:tc>
          <w:tcPr>
            <w:tcW w:w="432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Repurchase agreement liabilities associated with these</w:t>
            </w:r>
          </w:p>
        </w:tc>
        <w:tc>
          <w:tcPr>
            <w:tcW w:w="190" w:type="dxa"/>
            <w:vAlign w:val="bottom"/>
          </w:tcPr>
          <w:p>
            <w:pPr>
              <w:spacing w:after="0"/>
              <w:rPr>
                <w:sz w:val="15"/>
                <w:szCs w:val="15"/>
                <w:color w:val="auto"/>
              </w:rPr>
            </w:pPr>
          </w:p>
        </w:tc>
        <w:tc>
          <w:tcPr>
            <w:tcW w:w="87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31"/>
        </w:trPr>
        <w:tc>
          <w:tcPr>
            <w:tcW w:w="432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18"/>
                <w:szCs w:val="18"/>
                <w:color w:val="auto"/>
              </w:rPr>
              <w:t>securities</w:t>
            </w:r>
          </w:p>
        </w:tc>
        <w:tc>
          <w:tcPr>
            <w:tcW w:w="19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70" w:type="dxa"/>
            <w:vAlign w:val="bottom"/>
            <w:tcBorders>
              <w:bottom w:val="single" w:sz="8" w:color="DDDDDD"/>
            </w:tcBorders>
          </w:tcPr>
          <w:p>
            <w:pPr>
              <w:spacing w:after="0"/>
              <w:rPr>
                <w:sz w:val="20"/>
                <w:szCs w:val="20"/>
                <w:color w:val="auto"/>
              </w:rPr>
            </w:pPr>
          </w:p>
        </w:tc>
        <w:tc>
          <w:tcPr>
            <w:tcW w:w="1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81,215</w:t>
            </w:r>
          </w:p>
        </w:tc>
        <w:tc>
          <w:tcPr>
            <w:tcW w:w="160" w:type="dxa"/>
            <w:vAlign w:val="bottom"/>
            <w:tcBorders>
              <w:bottom w:val="single" w:sz="8" w:color="DDDDDD"/>
            </w:tcBorders>
          </w:tcPr>
          <w:p>
            <w:pPr>
              <w:spacing w:after="0"/>
              <w:rPr>
                <w:sz w:val="20"/>
                <w:szCs w:val="20"/>
                <w:color w:val="auto"/>
              </w:rPr>
            </w:pPr>
          </w:p>
        </w:tc>
        <w:tc>
          <w:tcPr>
            <w:tcW w:w="2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16,855</w:t>
            </w:r>
          </w:p>
        </w:tc>
        <w:tc>
          <w:tcPr>
            <w:tcW w:w="160" w:type="dxa"/>
            <w:vAlign w:val="bottom"/>
            <w:tcBorders>
              <w:bottom w:val="single" w:sz="8" w:color="DDDDDD"/>
            </w:tcBorders>
          </w:tcPr>
          <w:p>
            <w:pPr>
              <w:spacing w:after="0"/>
              <w:rPr>
                <w:sz w:val="20"/>
                <w:szCs w:val="20"/>
                <w:color w:val="auto"/>
              </w:rPr>
            </w:pPr>
          </w:p>
        </w:tc>
        <w:tc>
          <w:tcPr>
            <w:tcW w:w="2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19,111</w:t>
            </w:r>
          </w:p>
        </w:tc>
        <w:tc>
          <w:tcPr>
            <w:tcW w:w="200" w:type="dxa"/>
            <w:vAlign w:val="bottom"/>
            <w:tcBorders>
              <w:bottom w:val="single" w:sz="8" w:color="DDDDDD"/>
            </w:tcBorders>
          </w:tcPr>
          <w:p>
            <w:pPr>
              <w:spacing w:after="0"/>
              <w:rPr>
                <w:sz w:val="20"/>
                <w:szCs w:val="20"/>
                <w:color w:val="auto"/>
              </w:rPr>
            </w:pPr>
          </w:p>
        </w:tc>
        <w:tc>
          <w:tcPr>
            <w:tcW w:w="1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117,181</w:t>
            </w:r>
          </w:p>
        </w:tc>
        <w:tc>
          <w:tcPr>
            <w:tcW w:w="140" w:type="dxa"/>
            <w:vAlign w:val="bottom"/>
            <w:tcBorders>
              <w:bottom w:val="single" w:sz="8" w:color="DDDDDD"/>
            </w:tcBorders>
          </w:tcPr>
          <w:p>
            <w:pPr>
              <w:spacing w:after="0"/>
              <w:rPr>
                <w:sz w:val="20"/>
                <w:szCs w:val="20"/>
                <w:color w:val="auto"/>
              </w:rPr>
            </w:pPr>
          </w:p>
        </w:tc>
      </w:tr>
      <w:tr>
        <w:trPr>
          <w:trHeight w:val="195"/>
        </w:trPr>
        <w:tc>
          <w:tcPr>
            <w:tcW w:w="4320" w:type="dxa"/>
            <w:vAlign w:val="bottom"/>
            <w:tcBorders>
              <w:bottom w:val="single" w:sz="8" w:color="auto"/>
            </w:tcBorders>
            <w:shd w:val="clear" w:color="auto" w:fill="DDDDDD"/>
          </w:tcPr>
          <w:p>
            <w:pPr>
              <w:spacing w:after="0" w:line="193" w:lineRule="exact"/>
              <w:rPr>
                <w:sz w:val="20"/>
                <w:szCs w:val="20"/>
                <w:color w:val="auto"/>
              </w:rPr>
            </w:pPr>
            <w:r>
              <w:rPr>
                <w:rFonts w:ascii="Times New Roman" w:cs="Times New Roman" w:eastAsia="Times New Roman" w:hAnsi="Times New Roman"/>
                <w:sz w:val="18"/>
                <w:szCs w:val="18"/>
                <w:color w:val="auto"/>
              </w:rPr>
              <w:t>Net weighted average borrowing rate</w:t>
            </w:r>
          </w:p>
        </w:tc>
        <w:tc>
          <w:tcPr>
            <w:tcW w:w="190" w:type="dxa"/>
            <w:vAlign w:val="bottom"/>
            <w:tcBorders>
              <w:bottom w:val="single" w:sz="8" w:color="auto"/>
            </w:tcBorders>
            <w:shd w:val="clear" w:color="auto" w:fill="DDDDDD"/>
          </w:tcPr>
          <w:p>
            <w:pPr>
              <w:spacing w:after="0"/>
              <w:rPr>
                <w:sz w:val="16"/>
                <w:szCs w:val="16"/>
                <w:color w:val="auto"/>
              </w:rPr>
            </w:pPr>
          </w:p>
        </w:tc>
        <w:tc>
          <w:tcPr>
            <w:tcW w:w="87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4.70</w:t>
            </w:r>
          </w:p>
        </w:tc>
        <w:tc>
          <w:tcPr>
            <w:tcW w:w="160" w:type="dxa"/>
            <w:vAlign w:val="bottom"/>
            <w:tcBorders>
              <w:bottom w:val="single" w:sz="8" w:color="auto"/>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200" w:type="dxa"/>
            <w:vAlign w:val="bottom"/>
            <w:tcBorders>
              <w:bottom w:val="single" w:sz="8" w:color="auto"/>
            </w:tcBorders>
            <w:shd w:val="clear" w:color="auto" w:fill="DDDDDD"/>
          </w:tcPr>
          <w:p>
            <w:pPr>
              <w:spacing w:after="0"/>
              <w:rPr>
                <w:sz w:val="16"/>
                <w:szCs w:val="16"/>
                <w:color w:val="auto"/>
              </w:rPr>
            </w:pPr>
          </w:p>
        </w:tc>
        <w:tc>
          <w:tcPr>
            <w:tcW w:w="960" w:type="dxa"/>
            <w:vAlign w:val="bottom"/>
            <w:tcBorders>
              <w:bottom w:val="single" w:sz="8" w:color="auto"/>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4.54</w:t>
            </w:r>
          </w:p>
        </w:tc>
        <w:tc>
          <w:tcPr>
            <w:tcW w:w="160" w:type="dxa"/>
            <w:vAlign w:val="bottom"/>
            <w:tcBorders>
              <w:bottom w:val="single" w:sz="8" w:color="auto"/>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200" w:type="dxa"/>
            <w:vAlign w:val="bottom"/>
            <w:tcBorders>
              <w:bottom w:val="single" w:sz="8" w:color="auto"/>
            </w:tcBorders>
            <w:shd w:val="clear" w:color="auto" w:fill="DDDDDD"/>
          </w:tcPr>
          <w:p>
            <w:pPr>
              <w:spacing w:after="0"/>
              <w:rPr>
                <w:sz w:val="16"/>
                <w:szCs w:val="16"/>
                <w:color w:val="auto"/>
              </w:rPr>
            </w:pPr>
          </w:p>
        </w:tc>
        <w:tc>
          <w:tcPr>
            <w:tcW w:w="960" w:type="dxa"/>
            <w:vAlign w:val="bottom"/>
            <w:tcBorders>
              <w:bottom w:val="single" w:sz="8" w:color="auto"/>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4.76</w:t>
            </w:r>
          </w:p>
        </w:tc>
        <w:tc>
          <w:tcPr>
            <w:tcW w:w="20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4.68</w:t>
            </w:r>
          </w:p>
        </w:tc>
        <w:tc>
          <w:tcPr>
            <w:tcW w:w="140" w:type="dxa"/>
            <w:vAlign w:val="bottom"/>
            <w:tcBorders>
              <w:bottom w:val="single" w:sz="8" w:color="auto"/>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highlight w:val="lightGray"/>
                <w:w w:val="79"/>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-1661160</wp:posOffset>
                </wp:positionV>
                <wp:extent cx="685800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30.7999pt" to="540.2pt,-130.79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-830580</wp:posOffset>
                </wp:positionV>
                <wp:extent cx="6858000"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65.3999pt" to="540.2pt,-65.3999pt" o:allowincell="f" strokecolor="#FFFFFF" strokeweight="0.1399pt"/>
            </w:pict>
          </mc:Fallback>
        </mc:AlternateContent>
      </w:r>
    </w:p>
    <w:p>
      <w:pPr>
        <w:spacing w:after="0" w:line="190" w:lineRule="exact"/>
        <w:rPr>
          <w:sz w:val="20"/>
          <w:szCs w:val="20"/>
          <w:color w:val="auto"/>
        </w:rPr>
      </w:pPr>
    </w:p>
    <w:p>
      <w:pPr>
        <w:ind w:right="840" w:firstLine="360"/>
        <w:spacing w:after="0" w:line="278" w:lineRule="auto"/>
        <w:rPr>
          <w:sz w:val="20"/>
          <w:szCs w:val="20"/>
          <w:color w:val="auto"/>
        </w:rPr>
      </w:pPr>
      <w:r>
        <w:rPr>
          <w:rFonts w:ascii="Times New Roman" w:cs="Times New Roman" w:eastAsia="Times New Roman" w:hAnsi="Times New Roman"/>
          <w:sz w:val="20"/>
          <w:szCs w:val="20"/>
          <w:color w:val="auto"/>
        </w:rPr>
        <w:t>In addition, cash pledged to counterparties as collateral for repurchase agreements was approximately $0.6 million as of December 31, 2025, and $0.6 million as of December 31, 2024.</w:t>
      </w:r>
    </w:p>
    <w:p>
      <w:pPr>
        <w:spacing w:after="0" w:line="157" w:lineRule="exact"/>
        <w:rPr>
          <w:sz w:val="20"/>
          <w:szCs w:val="20"/>
          <w:color w:val="auto"/>
        </w:rPr>
      </w:pPr>
    </w:p>
    <w:p>
      <w:pPr>
        <w:ind w:right="40" w:firstLine="360"/>
        <w:spacing w:after="0" w:line="244" w:lineRule="auto"/>
        <w:rPr>
          <w:sz w:val="20"/>
          <w:szCs w:val="20"/>
          <w:color w:val="auto"/>
        </w:rPr>
      </w:pPr>
      <w:r>
        <w:rPr>
          <w:rFonts w:ascii="Times New Roman" w:cs="Times New Roman" w:eastAsia="Times New Roman" w:hAnsi="Times New Roman"/>
          <w:sz w:val="20"/>
          <w:szCs w:val="20"/>
          <w:color w:val="auto"/>
        </w:rPr>
        <w:t>If, during the term of a repurchase agreement, a lender files for bankruptcy, the Company might experience difficulty recovering its pledged assets, which could result in an unsecured claim against the lender for the difference between the amount loaned to the Company plus interest due to the counterparty and the fair value of the collateral pledged to such lender, including the accrued interest receivable, and cash posted by the Company as collateral, if any. As of December 31, 2025 and 2024, the Company had an aggregate amount at risk (the difference between the amount loaned to the Company, including interest payable, and the fair value of securities and cash pledged (if any), including accrued interest on such securities) with all counterparties of approximately $4.2 million and $5.8 million, respectively. The Company did not have an amount at risk with any one counterparty exceeding 10% of stockholders' equity as of December 31, 2025. Summary information regarding amounts at risk with individual counterparties greater than 10% of the Company's stockholders' equity as of December 31, 2024 is presented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800"/>
          </w:cols>
          <w:pgMar w:left="720" w:top="785" w:right="720" w:bottom="135"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9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310" w:type="dxa"/>
            <w:vAlign w:val="bottom"/>
            <w:tcBorders>
              <w:top w:val="single" w:sz="8" w:color="auto"/>
            </w:tcBorders>
          </w:tcPr>
          <w:p>
            <w:pPr>
              <w:spacing w:after="0"/>
              <w:rPr>
                <w:sz w:val="17"/>
                <w:szCs w:val="17"/>
                <w:color w:val="auto"/>
              </w:rPr>
            </w:pPr>
          </w:p>
        </w:tc>
        <w:tc>
          <w:tcPr>
            <w:tcW w:w="1450" w:type="dxa"/>
            <w:vAlign w:val="bottom"/>
            <w:tcBorders>
              <w:top w:val="single" w:sz="8" w:color="auto"/>
            </w:tcBorders>
            <w:gridSpan w:val="2"/>
          </w:tcPr>
          <w:p>
            <w:pPr>
              <w:jc w:val="center"/>
              <w:ind w:right="160"/>
              <w:spacing w:after="0" w:line="199" w:lineRule="exact"/>
              <w:rPr>
                <w:sz w:val="20"/>
                <w:szCs w:val="20"/>
                <w:color w:val="auto"/>
              </w:rPr>
            </w:pPr>
            <w:r>
              <w:rPr>
                <w:rFonts w:ascii="Times New Roman" w:cs="Times New Roman" w:eastAsia="Times New Roman" w:hAnsi="Times New Roman"/>
                <w:sz w:val="18"/>
                <w:szCs w:val="18"/>
                <w:b w:val="1"/>
                <w:bCs w:val="1"/>
                <w:color w:val="auto"/>
              </w:rPr>
              <w:t>% of</w:t>
            </w:r>
          </w:p>
        </w:tc>
        <w:tc>
          <w:tcPr>
            <w:tcW w:w="210" w:type="dxa"/>
            <w:vAlign w:val="bottom"/>
            <w:tcBorders>
              <w:top w:val="single" w:sz="8" w:color="auto"/>
            </w:tcBorders>
          </w:tcPr>
          <w:p>
            <w:pPr>
              <w:spacing w:after="0"/>
              <w:rPr>
                <w:sz w:val="17"/>
                <w:szCs w:val="17"/>
                <w:color w:val="auto"/>
              </w:rPr>
            </w:pPr>
          </w:p>
        </w:tc>
        <w:tc>
          <w:tcPr>
            <w:tcW w:w="1390" w:type="dxa"/>
            <w:vAlign w:val="bottom"/>
            <w:tcBorders>
              <w:top w:val="single" w:sz="8" w:color="auto"/>
            </w:tcBorders>
            <w:gridSpan w:val="2"/>
          </w:tcPr>
          <w:p>
            <w:pPr>
              <w:jc w:val="center"/>
              <w:ind w:right="190"/>
              <w:spacing w:after="0" w:line="199" w:lineRule="exact"/>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7"/>
        </w:trPr>
        <w:tc>
          <w:tcPr>
            <w:tcW w:w="5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10" w:type="dxa"/>
            <w:vAlign w:val="bottom"/>
          </w:tcPr>
          <w:p>
            <w:pPr>
              <w:spacing w:after="0"/>
              <w:rPr>
                <w:sz w:val="18"/>
                <w:szCs w:val="18"/>
                <w:color w:val="auto"/>
              </w:rPr>
            </w:pPr>
          </w:p>
        </w:tc>
        <w:tc>
          <w:tcPr>
            <w:tcW w:w="145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210" w:type="dxa"/>
            <w:vAlign w:val="bottom"/>
          </w:tcPr>
          <w:p>
            <w:pPr>
              <w:spacing w:after="0"/>
              <w:rPr>
                <w:sz w:val="18"/>
                <w:szCs w:val="18"/>
                <w:color w:val="auto"/>
              </w:rPr>
            </w:pPr>
          </w:p>
        </w:tc>
        <w:tc>
          <w:tcPr>
            <w:tcW w:w="139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7"/>
        </w:trPr>
        <w:tc>
          <w:tcPr>
            <w:tcW w:w="5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10" w:type="dxa"/>
            <w:vAlign w:val="bottom"/>
          </w:tcPr>
          <w:p>
            <w:pPr>
              <w:spacing w:after="0"/>
              <w:rPr>
                <w:sz w:val="18"/>
                <w:szCs w:val="18"/>
                <w:color w:val="auto"/>
              </w:rPr>
            </w:pPr>
          </w:p>
        </w:tc>
        <w:tc>
          <w:tcPr>
            <w:tcW w:w="145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10" w:type="dxa"/>
            <w:vAlign w:val="bottom"/>
          </w:tcPr>
          <w:p>
            <w:pPr>
              <w:spacing w:after="0"/>
              <w:rPr>
                <w:sz w:val="18"/>
                <w:szCs w:val="18"/>
                <w:color w:val="auto"/>
              </w:rPr>
            </w:pPr>
          </w:p>
        </w:tc>
        <w:tc>
          <w:tcPr>
            <w:tcW w:w="139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Maturity</w:t>
            </w:r>
          </w:p>
        </w:tc>
      </w:tr>
      <w:tr>
        <w:trPr>
          <w:trHeight w:val="272"/>
        </w:trPr>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Repurchase Agreement Counterparty</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at Risk</w:t>
            </w:r>
          </w:p>
        </w:tc>
        <w:tc>
          <w:tcPr>
            <w:tcW w:w="310" w:type="dxa"/>
            <w:vAlign w:val="bottom"/>
            <w:tcBorders>
              <w:bottom w:val="single" w:sz="8" w:color="auto"/>
            </w:tcBorders>
          </w:tcPr>
          <w:p>
            <w:pPr>
              <w:spacing w:after="0"/>
              <w:rPr>
                <w:sz w:val="23"/>
                <w:szCs w:val="23"/>
                <w:color w:val="auto"/>
              </w:rPr>
            </w:pPr>
          </w:p>
        </w:tc>
        <w:tc>
          <w:tcPr>
            <w:tcW w:w="145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at Risk</w:t>
            </w:r>
          </w:p>
        </w:tc>
        <w:tc>
          <w:tcPr>
            <w:tcW w:w="210" w:type="dxa"/>
            <w:vAlign w:val="bottom"/>
            <w:tcBorders>
              <w:bottom w:val="single" w:sz="8" w:color="auto"/>
            </w:tcBorders>
          </w:tcPr>
          <w:p>
            <w:pPr>
              <w:spacing w:after="0"/>
              <w:rPr>
                <w:sz w:val="23"/>
                <w:szCs w:val="23"/>
                <w:color w:val="auto"/>
              </w:rPr>
            </w:pPr>
          </w:p>
        </w:tc>
        <w:tc>
          <w:tcPr>
            <w:tcW w:w="1390" w:type="dxa"/>
            <w:vAlign w:val="bottom"/>
            <w:tcBorders>
              <w:bottom w:val="single" w:sz="8" w:color="auto"/>
            </w:tcBorders>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(in Days)</w:t>
            </w:r>
          </w:p>
        </w:tc>
      </w:tr>
      <w:tr>
        <w:trPr>
          <w:trHeight w:val="186"/>
        </w:trPr>
        <w:tc>
          <w:tcPr>
            <w:tcW w:w="5940" w:type="dxa"/>
            <w:vAlign w:val="bottom"/>
            <w:tcBorders>
              <w:top w:val="single" w:sz="8" w:color="DDDDDD"/>
              <w:bottom w:val="single" w:sz="8" w:color="auto"/>
            </w:tcBorders>
            <w:shd w:val="clear" w:color="auto" w:fill="DDDDDD"/>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Borders>
              <w:top w:val="single" w:sz="8" w:color="DDDDDD"/>
              <w:bottom w:val="single" w:sz="8" w:color="auto"/>
            </w:tcBorders>
            <w:shd w:val="clear" w:color="auto" w:fill="DDDDDD"/>
          </w:tcPr>
          <w:p>
            <w:pPr>
              <w:spacing w:after="0"/>
              <w:rPr>
                <w:sz w:val="16"/>
                <w:szCs w:val="16"/>
                <w:color w:val="auto"/>
              </w:rPr>
            </w:pPr>
          </w:p>
        </w:tc>
        <w:tc>
          <w:tcPr>
            <w:tcW w:w="1300" w:type="dxa"/>
            <w:vAlign w:val="bottom"/>
            <w:tcBorders>
              <w:top w:val="single" w:sz="8" w:color="DDDDDD"/>
              <w:bottom w:val="single" w:sz="8" w:color="auto"/>
            </w:tcBorders>
            <w:shd w:val="clear" w:color="auto" w:fill="DDDDDD"/>
          </w:tcPr>
          <w:p>
            <w:pPr>
              <w:spacing w:after="0"/>
              <w:rPr>
                <w:sz w:val="16"/>
                <w:szCs w:val="16"/>
                <w:color w:val="auto"/>
              </w:rPr>
            </w:pPr>
          </w:p>
        </w:tc>
        <w:tc>
          <w:tcPr>
            <w:tcW w:w="310" w:type="dxa"/>
            <w:vAlign w:val="bottom"/>
            <w:tcBorders>
              <w:top w:val="single" w:sz="8" w:color="DDDDDD"/>
              <w:bottom w:val="single" w:sz="8" w:color="auto"/>
            </w:tcBorders>
            <w:shd w:val="clear" w:color="auto" w:fill="DDDDDD"/>
          </w:tcPr>
          <w:p>
            <w:pPr>
              <w:spacing w:after="0"/>
              <w:rPr>
                <w:sz w:val="16"/>
                <w:szCs w:val="16"/>
                <w:color w:val="auto"/>
              </w:rPr>
            </w:pPr>
          </w:p>
        </w:tc>
        <w:tc>
          <w:tcPr>
            <w:tcW w:w="1290" w:type="dxa"/>
            <w:vAlign w:val="bottom"/>
            <w:tcBorders>
              <w:top w:val="single" w:sz="8" w:color="DDDDDD"/>
              <w:bottom w:val="single" w:sz="8" w:color="auto"/>
            </w:tcBorders>
            <w:shd w:val="clear" w:color="auto" w:fill="DDDDDD"/>
          </w:tcPr>
          <w:p>
            <w:pPr>
              <w:spacing w:after="0"/>
              <w:rPr>
                <w:sz w:val="16"/>
                <w:szCs w:val="16"/>
                <w:color w:val="auto"/>
              </w:rPr>
            </w:pPr>
          </w:p>
        </w:tc>
        <w:tc>
          <w:tcPr>
            <w:tcW w:w="160" w:type="dxa"/>
            <w:vAlign w:val="bottom"/>
            <w:tcBorders>
              <w:top w:val="single" w:sz="8" w:color="DDDDDD"/>
              <w:bottom w:val="single" w:sz="8" w:color="auto"/>
            </w:tcBorders>
            <w:shd w:val="clear" w:color="auto" w:fill="DDDDDD"/>
          </w:tcPr>
          <w:p>
            <w:pPr>
              <w:spacing w:after="0"/>
              <w:rPr>
                <w:sz w:val="16"/>
                <w:szCs w:val="16"/>
                <w:color w:val="auto"/>
              </w:rPr>
            </w:pPr>
          </w:p>
        </w:tc>
        <w:tc>
          <w:tcPr>
            <w:tcW w:w="210" w:type="dxa"/>
            <w:vAlign w:val="bottom"/>
            <w:tcBorders>
              <w:top w:val="single" w:sz="8" w:color="DDDDDD"/>
              <w:bottom w:val="single" w:sz="8" w:color="auto"/>
            </w:tcBorders>
            <w:shd w:val="clear" w:color="auto" w:fill="DDDDDD"/>
          </w:tcPr>
          <w:p>
            <w:pPr>
              <w:spacing w:after="0"/>
              <w:rPr>
                <w:sz w:val="16"/>
                <w:szCs w:val="16"/>
                <w:color w:val="auto"/>
              </w:rPr>
            </w:pPr>
          </w:p>
        </w:tc>
        <w:tc>
          <w:tcPr>
            <w:tcW w:w="129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r>
      <w:tr>
        <w:trPr>
          <w:trHeight w:val="212"/>
        </w:trPr>
        <w:tc>
          <w:tcPr>
            <w:tcW w:w="594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18"/>
                <w:szCs w:val="18"/>
                <w:color w:val="auto"/>
              </w:rPr>
              <w:t>South Street Securities, LLC</w:t>
            </w:r>
          </w:p>
        </w:tc>
        <w:tc>
          <w:tcPr>
            <w:tcW w:w="2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760" w:type="dxa"/>
            <w:vAlign w:val="bottom"/>
            <w:tcBorders>
              <w:bottom w:val="single" w:sz="8" w:color="DDDDDD"/>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50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DDDDDD"/>
            </w:tcBorders>
          </w:tcPr>
          <w:p>
            <w:pPr>
              <w:spacing w:after="0"/>
              <w:rPr>
                <w:sz w:val="18"/>
                <w:szCs w:val="18"/>
                <w:color w:val="auto"/>
              </w:rPr>
            </w:pPr>
          </w:p>
        </w:tc>
      </w:tr>
      <w:tr>
        <w:trPr>
          <w:trHeight w:val="192"/>
        </w:trPr>
        <w:tc>
          <w:tcPr>
            <w:tcW w:w="5940" w:type="dxa"/>
            <w:vAlign w:val="bottom"/>
            <w:tcBorders>
              <w:bottom w:val="single" w:sz="8" w:color="DDDDDD"/>
            </w:tcBorders>
            <w:shd w:val="clear" w:color="auto" w:fill="DDDDDD"/>
          </w:tcPr>
          <w:p>
            <w:pPr>
              <w:spacing w:after="0" w:line="193" w:lineRule="exact"/>
              <w:rPr>
                <w:sz w:val="20"/>
                <w:szCs w:val="20"/>
                <w:color w:val="auto"/>
              </w:rPr>
            </w:pPr>
            <w:r>
              <w:rPr>
                <w:rFonts w:ascii="Times New Roman" w:cs="Times New Roman" w:eastAsia="Times New Roman" w:hAnsi="Times New Roman"/>
                <w:sz w:val="18"/>
                <w:szCs w:val="18"/>
                <w:color w:val="auto"/>
              </w:rPr>
              <w:t>Marex Capital Markets Inc.</w:t>
            </w:r>
          </w:p>
        </w:tc>
        <w:tc>
          <w:tcPr>
            <w:tcW w:w="200" w:type="dxa"/>
            <w:vAlign w:val="bottom"/>
            <w:tcBorders>
              <w:bottom w:val="single" w:sz="8" w:color="DDDDDD"/>
            </w:tcBorders>
            <w:shd w:val="clear" w:color="auto" w:fill="DDDDDD"/>
          </w:tcPr>
          <w:p>
            <w:pPr>
              <w:spacing w:after="0"/>
              <w:rPr>
                <w:sz w:val="16"/>
                <w:szCs w:val="16"/>
                <w:color w:val="auto"/>
              </w:rPr>
            </w:pPr>
          </w:p>
        </w:tc>
        <w:tc>
          <w:tcPr>
            <w:tcW w:w="130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1,205</w:t>
            </w:r>
          </w:p>
        </w:tc>
        <w:tc>
          <w:tcPr>
            <w:tcW w:w="310" w:type="dxa"/>
            <w:vAlign w:val="bottom"/>
            <w:tcBorders>
              <w:bottom w:val="single" w:sz="8" w:color="DDDDDD"/>
            </w:tcBorders>
            <w:shd w:val="clear" w:color="auto" w:fill="DDDDDD"/>
          </w:tcPr>
          <w:p>
            <w:pPr>
              <w:spacing w:after="0"/>
              <w:rPr>
                <w:sz w:val="16"/>
                <w:szCs w:val="16"/>
                <w:color w:val="auto"/>
              </w:rPr>
            </w:pPr>
          </w:p>
        </w:tc>
        <w:tc>
          <w:tcPr>
            <w:tcW w:w="129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17.7</w:t>
            </w:r>
          </w:p>
        </w:tc>
        <w:tc>
          <w:tcPr>
            <w:tcW w:w="16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210" w:type="dxa"/>
            <w:vAlign w:val="bottom"/>
            <w:tcBorders>
              <w:bottom w:val="single" w:sz="8" w:color="DDDDDD"/>
            </w:tcBorders>
            <w:shd w:val="clear" w:color="auto" w:fill="DDDDDD"/>
          </w:tcPr>
          <w:p>
            <w:pPr>
              <w:spacing w:after="0"/>
              <w:rPr>
                <w:sz w:val="16"/>
                <w:szCs w:val="16"/>
                <w:color w:val="auto"/>
              </w:rPr>
            </w:pPr>
          </w:p>
        </w:tc>
        <w:tc>
          <w:tcPr>
            <w:tcW w:w="129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DDDDDD"/>
            </w:tcBorders>
            <w:shd w:val="clear" w:color="auto" w:fill="DDDDDD"/>
          </w:tcPr>
          <w:p>
            <w:pPr>
              <w:spacing w:after="0"/>
              <w:rPr>
                <w:sz w:val="16"/>
                <w:szCs w:val="16"/>
                <w:color w:val="auto"/>
              </w:rPr>
            </w:pPr>
          </w:p>
        </w:tc>
      </w:tr>
      <w:tr>
        <w:trPr>
          <w:trHeight w:val="202"/>
        </w:trPr>
        <w:tc>
          <w:tcPr>
            <w:tcW w:w="5940" w:type="dxa"/>
            <w:vAlign w:val="bottom"/>
            <w:tcBorders>
              <w:bottom w:val="single" w:sz="8" w:color="DDDDDD"/>
            </w:tcBorders>
          </w:tcPr>
          <w:p>
            <w:pPr>
              <w:spacing w:after="0" w:line="202" w:lineRule="exact"/>
              <w:rPr>
                <w:sz w:val="20"/>
                <w:szCs w:val="20"/>
                <w:color w:val="auto"/>
              </w:rPr>
            </w:pPr>
            <w:r>
              <w:rPr>
                <w:rFonts w:ascii="Times New Roman" w:cs="Times New Roman" w:eastAsia="Times New Roman" w:hAnsi="Times New Roman"/>
                <w:sz w:val="18"/>
                <w:szCs w:val="18"/>
                <w:color w:val="auto"/>
              </w:rPr>
              <w:t>Mitsubishi UFJ Securities, Inc.</w:t>
            </w:r>
          </w:p>
        </w:tc>
        <w:tc>
          <w:tcPr>
            <w:tcW w:w="200" w:type="dxa"/>
            <w:vAlign w:val="bottom"/>
            <w:tcBorders>
              <w:bottom w:val="single" w:sz="8" w:color="DDDDDD"/>
            </w:tcBorders>
          </w:tcPr>
          <w:p>
            <w:pPr>
              <w:spacing w:after="0"/>
              <w:rPr>
                <w:sz w:val="17"/>
                <w:szCs w:val="17"/>
                <w:color w:val="auto"/>
              </w:rPr>
            </w:pPr>
          </w:p>
        </w:tc>
        <w:tc>
          <w:tcPr>
            <w:tcW w:w="130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858</w:t>
            </w:r>
          </w:p>
        </w:tc>
        <w:tc>
          <w:tcPr>
            <w:tcW w:w="1760" w:type="dxa"/>
            <w:vAlign w:val="bottom"/>
            <w:tcBorders>
              <w:bottom w:val="single" w:sz="8" w:color="DDDDDD"/>
            </w:tcBorders>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12.6 %</w:t>
            </w:r>
          </w:p>
        </w:tc>
        <w:tc>
          <w:tcPr>
            <w:tcW w:w="1500" w:type="dxa"/>
            <w:vAlign w:val="bottom"/>
            <w:tcBorders>
              <w:bottom w:val="single" w:sz="8" w:color="DDDDDD"/>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DDDDDD"/>
            </w:tcBorders>
          </w:tcPr>
          <w:p>
            <w:pPr>
              <w:spacing w:after="0"/>
              <w:rPr>
                <w:sz w:val="17"/>
                <w:szCs w:val="17"/>
                <w:color w:val="auto"/>
              </w:rPr>
            </w:pPr>
          </w:p>
        </w:tc>
      </w:tr>
      <w:tr>
        <w:trPr>
          <w:trHeight w:val="192"/>
        </w:trPr>
        <w:tc>
          <w:tcPr>
            <w:tcW w:w="5940" w:type="dxa"/>
            <w:vAlign w:val="bottom"/>
            <w:tcBorders>
              <w:bottom w:val="single" w:sz="8" w:color="DDDDDD"/>
            </w:tcBorders>
            <w:shd w:val="clear" w:color="auto" w:fill="DDDDDD"/>
          </w:tcPr>
          <w:p>
            <w:pPr>
              <w:spacing w:after="0" w:line="193" w:lineRule="exact"/>
              <w:rPr>
                <w:sz w:val="20"/>
                <w:szCs w:val="20"/>
                <w:color w:val="auto"/>
              </w:rPr>
            </w:pPr>
            <w:r>
              <w:rPr>
                <w:rFonts w:ascii="Times New Roman" w:cs="Times New Roman" w:eastAsia="Times New Roman" w:hAnsi="Times New Roman"/>
                <w:sz w:val="18"/>
                <w:szCs w:val="18"/>
                <w:color w:val="auto"/>
              </w:rPr>
              <w:t>Mirae Asset Securities (USA) Inc.</w:t>
            </w:r>
          </w:p>
        </w:tc>
        <w:tc>
          <w:tcPr>
            <w:tcW w:w="200" w:type="dxa"/>
            <w:vAlign w:val="bottom"/>
            <w:tcBorders>
              <w:bottom w:val="single" w:sz="8" w:color="DDDDDD"/>
            </w:tcBorders>
            <w:shd w:val="clear" w:color="auto" w:fill="DDDDDD"/>
          </w:tcPr>
          <w:p>
            <w:pPr>
              <w:spacing w:after="0"/>
              <w:rPr>
                <w:sz w:val="16"/>
                <w:szCs w:val="16"/>
                <w:color w:val="auto"/>
              </w:rPr>
            </w:pPr>
          </w:p>
        </w:tc>
        <w:tc>
          <w:tcPr>
            <w:tcW w:w="130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842</w:t>
            </w:r>
          </w:p>
        </w:tc>
        <w:tc>
          <w:tcPr>
            <w:tcW w:w="310" w:type="dxa"/>
            <w:vAlign w:val="bottom"/>
            <w:tcBorders>
              <w:bottom w:val="single" w:sz="8" w:color="DDDDDD"/>
            </w:tcBorders>
            <w:shd w:val="clear" w:color="auto" w:fill="DDDDDD"/>
          </w:tcPr>
          <w:p>
            <w:pPr>
              <w:spacing w:after="0"/>
              <w:rPr>
                <w:sz w:val="16"/>
                <w:szCs w:val="16"/>
                <w:color w:val="auto"/>
              </w:rPr>
            </w:pPr>
          </w:p>
        </w:tc>
        <w:tc>
          <w:tcPr>
            <w:tcW w:w="129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12.3</w:t>
            </w:r>
          </w:p>
        </w:tc>
        <w:tc>
          <w:tcPr>
            <w:tcW w:w="16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210" w:type="dxa"/>
            <w:vAlign w:val="bottom"/>
            <w:tcBorders>
              <w:bottom w:val="single" w:sz="8" w:color="DDDDDD"/>
            </w:tcBorders>
            <w:shd w:val="clear" w:color="auto" w:fill="DDDDDD"/>
          </w:tcPr>
          <w:p>
            <w:pPr>
              <w:spacing w:after="0"/>
              <w:rPr>
                <w:sz w:val="16"/>
                <w:szCs w:val="16"/>
                <w:color w:val="auto"/>
              </w:rPr>
            </w:pPr>
          </w:p>
        </w:tc>
        <w:tc>
          <w:tcPr>
            <w:tcW w:w="129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DDDDDD"/>
            </w:tcBorders>
            <w:shd w:val="clear" w:color="auto" w:fill="DDDDDD"/>
          </w:tcPr>
          <w:p>
            <w:pPr>
              <w:spacing w:after="0"/>
              <w:rPr>
                <w:sz w:val="16"/>
                <w:szCs w:val="16"/>
                <w:color w:val="auto"/>
              </w:rPr>
            </w:pPr>
          </w:p>
        </w:tc>
      </w:tr>
      <w:tr>
        <w:trPr>
          <w:trHeight w:val="201"/>
        </w:trPr>
        <w:tc>
          <w:tcPr>
            <w:tcW w:w="594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rPr>
              <w:t>DV Securities, LLC.</w:t>
            </w:r>
          </w:p>
        </w:tc>
        <w:tc>
          <w:tcPr>
            <w:tcW w:w="200" w:type="dxa"/>
            <w:vAlign w:val="bottom"/>
            <w:tcBorders>
              <w:bottom w:val="single" w:sz="8" w:color="DDDDDD"/>
            </w:tcBorders>
          </w:tcPr>
          <w:p>
            <w:pPr>
              <w:spacing w:after="0"/>
              <w:rPr>
                <w:sz w:val="17"/>
                <w:szCs w:val="17"/>
                <w:color w:val="auto"/>
              </w:rPr>
            </w:pPr>
          </w:p>
        </w:tc>
        <w:tc>
          <w:tcPr>
            <w:tcW w:w="130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834</w:t>
            </w:r>
          </w:p>
        </w:tc>
        <w:tc>
          <w:tcPr>
            <w:tcW w:w="1760" w:type="dxa"/>
            <w:vAlign w:val="bottom"/>
            <w:tcBorders>
              <w:bottom w:val="single" w:sz="8" w:color="DDDDDD"/>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12.2 %</w:t>
            </w:r>
          </w:p>
        </w:tc>
        <w:tc>
          <w:tcPr>
            <w:tcW w:w="150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DDDDDD"/>
            </w:tcBorders>
          </w:tcPr>
          <w:p>
            <w:pPr>
              <w:spacing w:after="0"/>
              <w:rPr>
                <w:sz w:val="17"/>
                <w:szCs w:val="17"/>
                <w:color w:val="auto"/>
              </w:rPr>
            </w:pPr>
          </w:p>
        </w:tc>
      </w:tr>
      <w:tr>
        <w:trPr>
          <w:trHeight w:val="195"/>
        </w:trPr>
        <w:tc>
          <w:tcPr>
            <w:tcW w:w="5940" w:type="dxa"/>
            <w:vAlign w:val="bottom"/>
            <w:tcBorders>
              <w:bottom w:val="single" w:sz="8" w:color="auto"/>
            </w:tcBorders>
            <w:shd w:val="clear" w:color="auto" w:fill="DDDDDD"/>
          </w:tcPr>
          <w:p>
            <w:pPr>
              <w:spacing w:after="0" w:line="193" w:lineRule="exact"/>
              <w:rPr>
                <w:sz w:val="20"/>
                <w:szCs w:val="20"/>
                <w:color w:val="auto"/>
              </w:rPr>
            </w:pPr>
            <w:r>
              <w:rPr>
                <w:rFonts w:ascii="Times New Roman" w:cs="Times New Roman" w:eastAsia="Times New Roman" w:hAnsi="Times New Roman"/>
                <w:sz w:val="18"/>
                <w:szCs w:val="18"/>
                <w:color w:val="auto"/>
              </w:rPr>
              <w:t>Clear Street LLC</w:t>
            </w:r>
          </w:p>
        </w:tc>
        <w:tc>
          <w:tcPr>
            <w:tcW w:w="200" w:type="dxa"/>
            <w:vAlign w:val="bottom"/>
            <w:tcBorders>
              <w:bottom w:val="single" w:sz="8" w:color="auto"/>
            </w:tcBorders>
            <w:shd w:val="clear" w:color="auto" w:fill="DDDDDD"/>
          </w:tcPr>
          <w:p>
            <w:pPr>
              <w:spacing w:after="0"/>
              <w:rPr>
                <w:sz w:val="16"/>
                <w:szCs w:val="16"/>
                <w:color w:val="auto"/>
              </w:rPr>
            </w:pPr>
          </w:p>
        </w:tc>
        <w:tc>
          <w:tcPr>
            <w:tcW w:w="1300" w:type="dxa"/>
            <w:vAlign w:val="bottom"/>
            <w:tcBorders>
              <w:bottom w:val="single" w:sz="8" w:color="auto"/>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794</w:t>
            </w:r>
          </w:p>
        </w:tc>
        <w:tc>
          <w:tcPr>
            <w:tcW w:w="310" w:type="dxa"/>
            <w:vAlign w:val="bottom"/>
            <w:tcBorders>
              <w:bottom w:val="single" w:sz="8" w:color="auto"/>
            </w:tcBorders>
            <w:shd w:val="clear" w:color="auto" w:fill="DDDDDD"/>
          </w:tcPr>
          <w:p>
            <w:pPr>
              <w:spacing w:after="0"/>
              <w:rPr>
                <w:sz w:val="16"/>
                <w:szCs w:val="16"/>
                <w:color w:val="auto"/>
              </w:rPr>
            </w:pPr>
          </w:p>
        </w:tc>
        <w:tc>
          <w:tcPr>
            <w:tcW w:w="1290" w:type="dxa"/>
            <w:vAlign w:val="bottom"/>
            <w:tcBorders>
              <w:bottom w:val="single" w:sz="8" w:color="auto"/>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11.6</w:t>
            </w:r>
          </w:p>
        </w:tc>
        <w:tc>
          <w:tcPr>
            <w:tcW w:w="160" w:type="dxa"/>
            <w:vAlign w:val="bottom"/>
            <w:tcBorders>
              <w:bottom w:val="single" w:sz="8" w:color="auto"/>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210" w:type="dxa"/>
            <w:vAlign w:val="bottom"/>
            <w:tcBorders>
              <w:bottom w:val="single" w:sz="8" w:color="auto"/>
            </w:tcBorders>
            <w:shd w:val="clear" w:color="auto" w:fill="DDDDDD"/>
          </w:tcPr>
          <w:p>
            <w:pPr>
              <w:spacing w:after="0"/>
              <w:rPr>
                <w:sz w:val="16"/>
                <w:szCs w:val="16"/>
                <w:color w:val="auto"/>
              </w:rPr>
            </w:pPr>
          </w:p>
        </w:tc>
        <w:tc>
          <w:tcPr>
            <w:tcW w:w="1290" w:type="dxa"/>
            <w:vAlign w:val="bottom"/>
            <w:tcBorders>
              <w:bottom w:val="single" w:sz="8" w:color="auto"/>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auto"/>
            </w:tcBorders>
            <w:shd w:val="clear" w:color="auto" w:fill="DDDDDD"/>
          </w:tcPr>
          <w:p>
            <w:pPr>
              <w:spacing w:after="0"/>
              <w:rPr>
                <w:sz w:val="16"/>
                <w:szCs w:val="16"/>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-1548130</wp:posOffset>
                </wp:positionV>
                <wp:extent cx="6858000"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6">
                          <a:solidFill>
                            <a:srgbClr val="FFFFFF"/>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21.8999pt" to="540.2pt,-121.8999pt" o:allowincell="f" strokecolor="#FFFFFF" strokeweight="0.1398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-834390</wp:posOffset>
                </wp:positionV>
                <wp:extent cx="6858000"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65">
                          <a:solidFill>
                            <a:srgbClr val="FFFFFF"/>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65.6999pt" to="540.2pt,-65.6999pt" o:allowincell="f" strokecolor="#FFFFFF" strokeweight="0.13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-560705</wp:posOffset>
                </wp:positionV>
                <wp:extent cx="685800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44.1499pt" to="540.2pt,-44.1499pt" o:allowincell="f" strokecolor="#FFFFFF" strokeweight="0.24pt"/>
            </w:pict>
          </mc:Fallback>
        </mc:AlternateConten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PLEDGED ASSETS</w:t>
      </w:r>
    </w:p>
    <w:p>
      <w:pPr>
        <w:spacing w:after="0" w:line="2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Assets Pledged to Counterparties</w:t>
      </w:r>
    </w:p>
    <w:p>
      <w:pPr>
        <w:spacing w:after="0" w:line="234" w:lineRule="exact"/>
        <w:rPr>
          <w:sz w:val="20"/>
          <w:szCs w:val="20"/>
          <w:color w:val="auto"/>
        </w:rPr>
      </w:pPr>
    </w:p>
    <w:p>
      <w:pPr>
        <w:ind w:right="200" w:firstLine="360"/>
        <w:spacing w:after="0" w:line="278" w:lineRule="auto"/>
        <w:rPr>
          <w:sz w:val="20"/>
          <w:szCs w:val="20"/>
          <w:color w:val="auto"/>
        </w:rPr>
      </w:pPr>
      <w:r>
        <w:rPr>
          <w:rFonts w:ascii="Times New Roman" w:cs="Times New Roman" w:eastAsia="Times New Roman" w:hAnsi="Times New Roman"/>
          <w:sz w:val="20"/>
          <w:szCs w:val="20"/>
          <w:color w:val="auto"/>
        </w:rPr>
        <w:t>The table below summarizes Bimini’s assets pledged as collateral under its repurchase agreements and derivative agreements as of December 31, 2025 and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23495</wp:posOffset>
                </wp:positionV>
                <wp:extent cx="6858000"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85pt" to="540.2pt,1.85pt" o:allowincell="f" strokecolor="#FFFFFF" strokeweight="0.1399pt"/>
            </w:pict>
          </mc:Fallback>
        </mc:AlternateConten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030" w:type="dxa"/>
            <w:vAlign w:val="bottom"/>
            <w:tcBorders>
              <w:top w:val="single" w:sz="8" w:color="auto"/>
            </w:tcBorders>
          </w:tcPr>
          <w:p>
            <w:pPr>
              <w:spacing w:after="0"/>
              <w:rPr>
                <w:sz w:val="18"/>
                <w:szCs w:val="18"/>
                <w:color w:val="auto"/>
              </w:rPr>
            </w:pPr>
          </w:p>
        </w:tc>
        <w:tc>
          <w:tcPr>
            <w:tcW w:w="11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510" w:type="dxa"/>
            <w:vAlign w:val="bottom"/>
            <w:tcBorders>
              <w:top w:val="single" w:sz="8" w:color="auto"/>
              <w:bottom w:val="single" w:sz="8" w:color="auto"/>
            </w:tcBorders>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1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r>
      <w:tr>
        <w:trPr>
          <w:trHeight w:val="192"/>
        </w:trPr>
        <w:tc>
          <w:tcPr>
            <w:tcW w:w="303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108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8"/>
                <w:szCs w:val="18"/>
                <w:b w:val="1"/>
                <w:bCs w:val="1"/>
                <w:color w:val="auto"/>
              </w:rPr>
              <w:t>Repurchase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90" w:type="dxa"/>
            <w:vAlign w:val="bottom"/>
            <w:gridSpan w:val="2"/>
          </w:tcPr>
          <w:p>
            <w:pPr>
              <w:jc w:val="center"/>
              <w:ind w:right="310"/>
              <w:spacing w:after="0" w:line="193"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11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100"/>
              <w:spacing w:after="0" w:line="193" w:lineRule="exact"/>
              <w:rPr>
                <w:sz w:val="20"/>
                <w:szCs w:val="20"/>
                <w:color w:val="auto"/>
              </w:rPr>
            </w:pPr>
            <w:r>
              <w:rPr>
                <w:rFonts w:ascii="Times New Roman" w:cs="Times New Roman" w:eastAsia="Times New Roman" w:hAnsi="Times New Roman"/>
                <w:sz w:val="18"/>
                <w:szCs w:val="18"/>
                <w:b w:val="1"/>
                <w:bCs w:val="1"/>
                <w:color w:val="auto"/>
              </w:rPr>
              <w:t>Repurchase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320"/>
              <w:spacing w:after="0" w:line="193"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0"/>
        </w:trPr>
        <w:tc>
          <w:tcPr>
            <w:tcW w:w="3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 Pledged to Counterparties</w:t>
            </w: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Agreements</w:t>
            </w:r>
          </w:p>
        </w:tc>
        <w:tc>
          <w:tcPr>
            <w:tcW w:w="220" w:type="dxa"/>
            <w:vAlign w:val="bottom"/>
            <w:tcBorders>
              <w:bottom w:val="single" w:sz="8" w:color="auto"/>
            </w:tcBorders>
          </w:tcPr>
          <w:p>
            <w:pPr>
              <w:spacing w:after="0"/>
              <w:rPr>
                <w:sz w:val="22"/>
                <w:szCs w:val="22"/>
                <w:color w:val="auto"/>
              </w:rPr>
            </w:pPr>
          </w:p>
        </w:tc>
        <w:tc>
          <w:tcPr>
            <w:tcW w:w="1290" w:type="dxa"/>
            <w:vAlign w:val="bottom"/>
            <w:tcBorders>
              <w:bottom w:val="single" w:sz="8" w:color="auto"/>
            </w:tcBorders>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Agreements</w:t>
            </w:r>
          </w:p>
        </w:tc>
        <w:tc>
          <w:tcPr>
            <w:tcW w:w="11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Agreements</w:t>
            </w: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Agreements</w:t>
            </w: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82"/>
        </w:trPr>
        <w:tc>
          <w:tcPr>
            <w:tcW w:w="303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rPr>
              <w:t>PT MBS - at fair value</w:t>
            </w:r>
          </w:p>
        </w:tc>
        <w:tc>
          <w:tcPr>
            <w:tcW w:w="11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88,808</w:t>
            </w:r>
          </w:p>
        </w:tc>
        <w:tc>
          <w:tcPr>
            <w:tcW w:w="22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10" w:type="dxa"/>
            <w:vAlign w:val="bottom"/>
            <w:tcBorders>
              <w:top w:val="single" w:sz="8" w:color="DDDDDD"/>
              <w:bottom w:val="single" w:sz="8" w:color="DDDDDD"/>
            </w:tcBorders>
            <w:shd w:val="clear" w:color="auto" w:fill="DDDDDD"/>
          </w:tcPr>
          <w:p>
            <w:pPr>
              <w:spacing w:after="0"/>
              <w:rPr>
                <w:sz w:val="15"/>
                <w:szCs w:val="15"/>
                <w:color w:val="auto"/>
              </w:rPr>
            </w:pPr>
          </w:p>
        </w:tc>
        <w:tc>
          <w:tcPr>
            <w:tcW w:w="11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88,808</w:t>
            </w: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119,960</w:t>
            </w:r>
          </w:p>
        </w:tc>
        <w:tc>
          <w:tcPr>
            <w:tcW w:w="22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119,960</w:t>
            </w: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20" w:type="dxa"/>
            <w:vAlign w:val="bottom"/>
            <w:tcBorders>
              <w:top w:val="single" w:sz="8" w:color="auto"/>
              <w:bottom w:val="single" w:sz="8" w:color="DDDDDD"/>
            </w:tcBorders>
            <w:shd w:val="clear" w:color="auto" w:fill="DDDDDD"/>
          </w:tcPr>
          <w:p>
            <w:pPr>
              <w:spacing w:after="0"/>
              <w:rPr>
                <w:sz w:val="15"/>
                <w:szCs w:val="15"/>
                <w:color w:val="auto"/>
              </w:rPr>
            </w:pPr>
          </w:p>
        </w:tc>
      </w:tr>
      <w:tr>
        <w:trPr>
          <w:trHeight w:val="202"/>
        </w:trPr>
        <w:tc>
          <w:tcPr>
            <w:tcW w:w="3140" w:type="dxa"/>
            <w:vAlign w:val="bottom"/>
            <w:tcBorders>
              <w:bottom w:val="single" w:sz="8" w:color="DDDDDD"/>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Structured MBS - at fair value</w:t>
            </w: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10" w:type="dxa"/>
            <w:vAlign w:val="bottom"/>
            <w:tcBorders>
              <w:bottom w:val="single" w:sz="8" w:color="DDDDDD"/>
            </w:tcBorders>
          </w:tcPr>
          <w:p>
            <w:pPr>
              <w:spacing w:after="0"/>
              <w:rPr>
                <w:sz w:val="17"/>
                <w:szCs w:val="17"/>
                <w:color w:val="auto"/>
              </w:rPr>
            </w:pPr>
          </w:p>
        </w:tc>
        <w:tc>
          <w:tcPr>
            <w:tcW w:w="11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2,133</w:t>
            </w:r>
          </w:p>
        </w:tc>
        <w:tc>
          <w:tcPr>
            <w:tcW w:w="2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2,133</w:t>
            </w:r>
          </w:p>
        </w:tc>
        <w:tc>
          <w:tcPr>
            <w:tcW w:w="10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r>
      <w:tr>
        <w:trPr>
          <w:trHeight w:val="192"/>
        </w:trPr>
        <w:tc>
          <w:tcPr>
            <w:tcW w:w="3030" w:type="dxa"/>
            <w:vAlign w:val="bottom"/>
            <w:tcBorders>
              <w:bottom w:val="single" w:sz="8" w:color="DDDDDD"/>
            </w:tcBorders>
            <w:shd w:val="clear" w:color="auto" w:fill="DDDDDD"/>
          </w:tcPr>
          <w:p>
            <w:pPr>
              <w:spacing w:after="0" w:line="193" w:lineRule="exact"/>
              <w:rPr>
                <w:sz w:val="20"/>
                <w:szCs w:val="20"/>
                <w:color w:val="auto"/>
              </w:rPr>
            </w:pPr>
            <w:r>
              <w:rPr>
                <w:rFonts w:ascii="Times New Roman" w:cs="Times New Roman" w:eastAsia="Times New Roman" w:hAnsi="Times New Roman"/>
                <w:sz w:val="18"/>
                <w:szCs w:val="18"/>
                <w:color w:val="auto"/>
              </w:rPr>
              <w:t>Accrued interest on pledged securities</w:t>
            </w:r>
          </w:p>
        </w:tc>
        <w:tc>
          <w:tcPr>
            <w:tcW w:w="11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413</w:t>
            </w:r>
          </w:p>
        </w:tc>
        <w:tc>
          <w:tcPr>
            <w:tcW w:w="2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210" w:type="dxa"/>
            <w:vAlign w:val="bottom"/>
            <w:tcBorders>
              <w:bottom w:val="single" w:sz="8" w:color="DDDDDD"/>
            </w:tcBorders>
            <w:shd w:val="clear" w:color="auto" w:fill="DDDDDD"/>
          </w:tcPr>
          <w:p>
            <w:pPr>
              <w:spacing w:after="0"/>
              <w:rPr>
                <w:sz w:val="16"/>
                <w:szCs w:val="16"/>
                <w:color w:val="auto"/>
              </w:rPr>
            </w:pPr>
          </w:p>
        </w:tc>
        <w:tc>
          <w:tcPr>
            <w:tcW w:w="11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599</w:t>
            </w:r>
          </w:p>
        </w:tc>
        <w:tc>
          <w:tcPr>
            <w:tcW w:w="2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599</w:t>
            </w:r>
          </w:p>
        </w:tc>
        <w:tc>
          <w:tcPr>
            <w:tcW w:w="100" w:type="dxa"/>
            <w:vAlign w:val="bottom"/>
            <w:tcBorders>
              <w:bottom w:val="single" w:sz="8" w:color="DDDDDD"/>
            </w:tcBorders>
            <w:shd w:val="clear" w:color="auto" w:fill="DDDDDD"/>
          </w:tcPr>
          <w:p>
            <w:pPr>
              <w:spacing w:after="0"/>
              <w:rPr>
                <w:sz w:val="16"/>
                <w:szCs w:val="16"/>
                <w:color w:val="auto"/>
              </w:rPr>
            </w:pPr>
          </w:p>
        </w:tc>
        <w:tc>
          <w:tcPr>
            <w:tcW w:w="20" w:type="dxa"/>
            <w:vAlign w:val="bottom"/>
            <w:tcBorders>
              <w:bottom w:val="single" w:sz="8" w:color="DDDDDD"/>
            </w:tcBorders>
            <w:shd w:val="clear" w:color="auto" w:fill="DDDDDD"/>
          </w:tcPr>
          <w:p>
            <w:pPr>
              <w:spacing w:after="0"/>
              <w:rPr>
                <w:sz w:val="16"/>
                <w:szCs w:val="16"/>
                <w:color w:val="auto"/>
              </w:rPr>
            </w:pPr>
          </w:p>
        </w:tc>
      </w:tr>
      <w:tr>
        <w:trPr>
          <w:trHeight w:val="229"/>
        </w:trPr>
        <w:tc>
          <w:tcPr>
            <w:tcW w:w="3140" w:type="dxa"/>
            <w:vAlign w:val="bottom"/>
            <w:tcBorders>
              <w:bottom w:val="single" w:sz="8" w:color="auto"/>
            </w:tcBorders>
            <w:gridSpan w:val="2"/>
          </w:tcPr>
          <w:p>
            <w:pPr>
              <w:spacing w:after="0" w:line="205" w:lineRule="exact"/>
              <w:rPr>
                <w:sz w:val="20"/>
                <w:szCs w:val="20"/>
                <w:color w:val="auto"/>
              </w:rPr>
            </w:pPr>
            <w:r>
              <w:rPr>
                <w:rFonts w:ascii="Times New Roman" w:cs="Times New Roman" w:eastAsia="Times New Roman" w:hAnsi="Times New Roman"/>
                <w:sz w:val="18"/>
                <w:szCs w:val="18"/>
                <w:color w:val="auto"/>
              </w:rPr>
              <w:t>Cash</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568</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1,053</w:t>
            </w:r>
          </w:p>
        </w:tc>
        <w:tc>
          <w:tcPr>
            <w:tcW w:w="210" w:type="dxa"/>
            <w:vAlign w:val="bottom"/>
            <w:tcBorders>
              <w:bottom w:val="single" w:sz="8" w:color="auto"/>
            </w:tcBorders>
          </w:tcPr>
          <w:p>
            <w:pPr>
              <w:spacing w:after="0"/>
              <w:rPr>
                <w:sz w:val="19"/>
                <w:szCs w:val="19"/>
                <w:color w:val="auto"/>
              </w:rPr>
            </w:pPr>
          </w:p>
        </w:tc>
        <w:tc>
          <w:tcPr>
            <w:tcW w:w="11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1,621</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629</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1,122</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1,751</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10"/>
        </w:trPr>
        <w:tc>
          <w:tcPr>
            <w:tcW w:w="303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1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89,789</w:t>
            </w:r>
          </w:p>
        </w:tc>
        <w:tc>
          <w:tcPr>
            <w:tcW w:w="22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1,053</w:t>
            </w:r>
          </w:p>
        </w:tc>
        <w:tc>
          <w:tcPr>
            <w:tcW w:w="210" w:type="dxa"/>
            <w:vAlign w:val="bottom"/>
            <w:tcBorders>
              <w:top w:val="single" w:sz="8" w:color="DDDDDD"/>
              <w:bottom w:val="single" w:sz="8" w:color="DDDDDD"/>
            </w:tcBorders>
            <w:shd w:val="clear" w:color="auto" w:fill="DDDDDD"/>
          </w:tcPr>
          <w:p>
            <w:pPr>
              <w:spacing w:after="0"/>
              <w:rPr>
                <w:sz w:val="17"/>
                <w:szCs w:val="17"/>
                <w:color w:val="auto"/>
              </w:rPr>
            </w:pPr>
          </w:p>
        </w:tc>
        <w:tc>
          <w:tcPr>
            <w:tcW w:w="11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90,842</w:t>
            </w: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123,321</w:t>
            </w:r>
          </w:p>
        </w:tc>
        <w:tc>
          <w:tcPr>
            <w:tcW w:w="22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1,122</w:t>
            </w:r>
          </w:p>
        </w:tc>
        <w:tc>
          <w:tcPr>
            <w:tcW w:w="22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124,443</w:t>
            </w: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20" w:type="dxa"/>
            <w:vAlign w:val="bottom"/>
            <w:tcBorders>
              <w:top w:val="single" w:sz="8" w:color="auto"/>
              <w:bottom w:val="single" w:sz="8" w:color="DDDDDD"/>
            </w:tcBorders>
            <w:shd w:val="clear" w:color="auto" w:fill="DDDDDD"/>
          </w:tcPr>
          <w:p>
            <w:pPr>
              <w:spacing w:after="0"/>
              <w:rPr>
                <w:sz w:val="17"/>
                <w:szCs w:val="17"/>
                <w:color w:val="auto"/>
              </w:rPr>
            </w:pPr>
          </w:p>
        </w:tc>
      </w:tr>
      <w:tr>
        <w:trPr>
          <w:trHeight w:val="20"/>
        </w:trPr>
        <w:tc>
          <w:tcPr>
            <w:tcW w:w="3030" w:type="dxa"/>
            <w:vAlign w:val="bottom"/>
            <w:tcBorders>
              <w:top w:val="single" w:sz="8" w:color="auto"/>
              <w:bottom w:val="single" w:sz="8" w:color="auto"/>
            </w:tcBorders>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10" w:type="dxa"/>
            <w:vAlign w:val="bottom"/>
            <w:tcBorders>
              <w:top w:val="single" w:sz="8" w:color="auto"/>
              <w:bottom w:val="single" w:sz="8" w:color="auto"/>
            </w:tcBorders>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1991360</wp:posOffset>
                </wp:positionH>
                <wp:positionV relativeFrom="paragraph">
                  <wp:posOffset>-1017270</wp:posOffset>
                </wp:positionV>
                <wp:extent cx="2400300"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00300" cy="4763"/>
                        </a:xfrm>
                        <a:prstGeom prst="line">
                          <a:avLst/>
                        </a:prstGeom>
                        <a:solidFill>
                          <a:srgbClr val="FFFFFF"/>
                        </a:solidFill>
                        <a:ln w="1765">
                          <a:solidFill>
                            <a:srgbClr val="FFFFFF"/>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8pt,-80.0999pt" to="345.8pt,-80.0999pt" o:allowincell="f" strokecolor="#FFFFFF" strokeweight="0.139pt"/>
            </w:pict>
          </mc:Fallback>
        </mc:AlternateContent>
        <mc:AlternateContent>
          <mc:Choice Requires="wps">
            <w:drawing>
              <wp:anchor simplePos="0" relativeHeight="251657728" behindDoc="1" locked="0" layoutInCell="0" allowOverlap="1">
                <wp:simplePos x="0" y="0"/>
                <wp:positionH relativeFrom="column">
                  <wp:posOffset>4460240</wp:posOffset>
                </wp:positionH>
                <wp:positionV relativeFrom="paragraph">
                  <wp:posOffset>-1017270</wp:posOffset>
                </wp:positionV>
                <wp:extent cx="240030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00300" cy="4763"/>
                        </a:xfrm>
                        <a:prstGeom prst="line">
                          <a:avLst/>
                        </a:prstGeom>
                        <a:solidFill>
                          <a:srgbClr val="FFFFFF"/>
                        </a:solidFill>
                        <a:ln w="1765">
                          <a:solidFill>
                            <a:srgbClr val="FFFFFF"/>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2pt,-80.0999pt" to="540.2pt,-80.0999pt" o:allowincell="f" strokecolor="#FFFFFF" strokeweight="0.139pt"/>
            </w:pict>
          </mc:Fallback>
        </mc:AlternateConten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Assets Pledged from Counterparties</w:t>
      </w:r>
    </w:p>
    <w:p>
      <w:pPr>
        <w:spacing w:after="0" w:line="234" w:lineRule="exact"/>
        <w:rPr>
          <w:sz w:val="20"/>
          <w:szCs w:val="20"/>
          <w:color w:val="auto"/>
        </w:rPr>
      </w:pPr>
    </w:p>
    <w:p>
      <w:pPr>
        <w:jc w:val="both"/>
        <w:ind w:right="80" w:firstLine="360"/>
        <w:spacing w:after="0" w:line="259" w:lineRule="auto"/>
        <w:rPr>
          <w:sz w:val="20"/>
          <w:szCs w:val="20"/>
          <w:color w:val="auto"/>
        </w:rPr>
      </w:pPr>
      <w:r>
        <w:rPr>
          <w:rFonts w:ascii="Times New Roman" w:cs="Times New Roman" w:eastAsia="Times New Roman" w:hAnsi="Times New Roman"/>
          <w:sz w:val="20"/>
          <w:szCs w:val="20"/>
          <w:color w:val="auto"/>
        </w:rPr>
        <w:t>The table below summarizes assets pledged to Bimini from counterparties under repurchase agreements as of December 31, 2025 and 2024. Cash received as margin is recognized in cash and cash equivalents with a corresponding amount recognized as an increase in repurchase agreements in the consolidated balance sheets.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23495</wp:posOffset>
                </wp:positionV>
                <wp:extent cx="6858000"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85pt" to="540.2pt,1.85pt" o:allowincell="f" strokecolor="#FFFFFF" strokeweight="0.1399pt"/>
            </w:pict>
          </mc:Fallback>
        </mc:AlternateConten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 Pledged to Bimini</w:t>
            </w:r>
          </w:p>
        </w:tc>
        <w:tc>
          <w:tcPr>
            <w:tcW w:w="1220" w:type="dxa"/>
            <w:vAlign w:val="bottom"/>
            <w:tcBorders>
              <w:top w:val="single" w:sz="8" w:color="auto"/>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r>
      <w:tr>
        <w:trPr>
          <w:trHeight w:val="188"/>
        </w:trPr>
        <w:tc>
          <w:tcPr>
            <w:tcW w:w="7560" w:type="dxa"/>
            <w:vAlign w:val="bottom"/>
            <w:tcBorders>
              <w:top w:val="single" w:sz="8" w:color="DDDDDD"/>
              <w:bottom w:val="single" w:sz="8" w:color="auto"/>
            </w:tcBorders>
            <w:shd w:val="clear" w:color="auto" w:fill="DDDDDD"/>
          </w:tcPr>
          <w:p>
            <w:pPr>
              <w:spacing w:after="0" w:line="189" w:lineRule="exact"/>
              <w:rPr>
                <w:sz w:val="20"/>
                <w:szCs w:val="20"/>
                <w:color w:val="auto"/>
              </w:rPr>
            </w:pPr>
            <w:r>
              <w:rPr>
                <w:rFonts w:ascii="Times New Roman" w:cs="Times New Roman" w:eastAsia="Times New Roman" w:hAnsi="Times New Roman"/>
                <w:sz w:val="18"/>
                <w:szCs w:val="18"/>
                <w:color w:val="auto"/>
              </w:rPr>
              <w:t>Cash</w:t>
            </w:r>
          </w:p>
        </w:tc>
        <w:tc>
          <w:tcPr>
            <w:tcW w:w="12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jc w:val="right"/>
              <w:spacing w:after="0" w:line="189"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000" w:type="dxa"/>
            <w:vAlign w:val="bottom"/>
            <w:tcBorders>
              <w:top w:val="single" w:sz="8" w:color="DDDDDD"/>
              <w:bottom w:val="single" w:sz="8" w:color="auto"/>
            </w:tcBorders>
            <w:shd w:val="clear" w:color="auto" w:fill="DDDDDD"/>
          </w:tcPr>
          <w:p>
            <w:pPr>
              <w:spacing w:after="0"/>
              <w:rPr>
                <w:sz w:val="16"/>
                <w:szCs w:val="16"/>
                <w:color w:val="auto"/>
              </w:rPr>
            </w:pPr>
          </w:p>
        </w:tc>
        <w:tc>
          <w:tcPr>
            <w:tcW w:w="300" w:type="dxa"/>
            <w:vAlign w:val="bottom"/>
            <w:tcBorders>
              <w:top w:val="single" w:sz="8" w:color="DDDDDD"/>
              <w:bottom w:val="single" w:sz="8" w:color="auto"/>
            </w:tcBorders>
            <w:shd w:val="clear" w:color="auto" w:fill="DDDDDD"/>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jc w:val="right"/>
              <w:spacing w:after="0" w:line="189"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top w:val="single" w:sz="8" w:color="DDDDDD"/>
              <w:bottom w:val="single" w:sz="8" w:color="auto"/>
            </w:tcBorders>
            <w:shd w:val="clear" w:color="auto" w:fill="DDDDDD"/>
          </w:tcPr>
          <w:p>
            <w:pPr>
              <w:jc w:val="right"/>
              <w:spacing w:after="0" w:line="189" w:lineRule="exact"/>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20" w:type="dxa"/>
            <w:vAlign w:val="bottom"/>
            <w:tcBorders>
              <w:top w:val="single" w:sz="8" w:color="auto"/>
              <w:bottom w:val="single" w:sz="8" w:color="auto"/>
            </w:tcBorders>
            <w:shd w:val="clear" w:color="auto" w:fill="DDDDDD"/>
          </w:tcPr>
          <w:p>
            <w:pPr>
              <w:spacing w:after="0"/>
              <w:rPr>
                <w:sz w:val="16"/>
                <w:szCs w:val="16"/>
                <w:color w:val="auto"/>
              </w:rPr>
            </w:pPr>
          </w:p>
        </w:tc>
      </w:tr>
      <w:tr>
        <w:trPr>
          <w:trHeight w:val="228"/>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0"/>
        </w:trPr>
        <w:tc>
          <w:tcPr>
            <w:tcW w:w="7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-173990</wp:posOffset>
                </wp:positionV>
                <wp:extent cx="6858000"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3.6999pt" to="540.2pt,-13.6999pt" o:allowincell="f" strokecolor="#FFFFFF" strokeweight="0.1399pt"/>
            </w:pict>
          </mc:Fallback>
        </mc:AlternateConten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OFFSETTING ASSETS AND LIABILITIES</w:t>
      </w:r>
    </w:p>
    <w:p>
      <w:pPr>
        <w:spacing w:after="0" w:line="234" w:lineRule="exact"/>
        <w:rPr>
          <w:sz w:val="20"/>
          <w:szCs w:val="20"/>
          <w:color w:val="auto"/>
        </w:rPr>
      </w:pPr>
    </w:p>
    <w:p>
      <w:pPr>
        <w:ind w:right="60" w:firstLine="360"/>
        <w:spacing w:after="0" w:line="249" w:lineRule="auto"/>
        <w:rPr>
          <w:sz w:val="20"/>
          <w:szCs w:val="20"/>
          <w:color w:val="auto"/>
        </w:rPr>
      </w:pPr>
      <w:r>
        <w:rPr>
          <w:rFonts w:ascii="Times New Roman" w:cs="Times New Roman" w:eastAsia="Times New Roman" w:hAnsi="Times New Roman"/>
          <w:sz w:val="20"/>
          <w:szCs w:val="20"/>
          <w:color w:val="auto"/>
        </w:rPr>
        <w:t>The Company’s repurchase agreements are subject to underlying agreements with master netting or similar arrangements, which provide for the right of offset in the event of default or in the event of bankruptcy of either party to the transactions. The Company reports its assets and liabilities subject to these arrangements on a gross basis. The following table presents information regarding those assets and liabilities subject to such arrangements as if the Company had presented them on a net basis as of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800"/>
          </w:cols>
          <w:pgMar w:left="720" w:top="796" w:right="720" w:bottom="135"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18415</wp:posOffset>
                </wp:positionV>
                <wp:extent cx="6858000"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45pt" to="540.2pt,1.45pt" o:allowincell="f" strokecolor="#000000" strokeweight="0.72pt"/>
            </w:pict>
          </mc:Fallback>
        </mc:AlternateConten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Offsetting of Liabilities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-126365</wp:posOffset>
                </wp:positionV>
                <wp:extent cx="6858000"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9.9499pt" to="540.2pt,-9.9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19685</wp:posOffset>
                </wp:positionV>
                <wp:extent cx="6858000"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6">
                          <a:solidFill>
                            <a:srgbClr val="FFFFFF"/>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55pt" to="540.2pt,1.55pt" o:allowincell="f" strokecolor="#FFFFFF" strokeweight="0.1398pt"/>
            </w:pict>
          </mc:Fallback>
        </mc:AlternateContent>
      </w:r>
    </w:p>
    <w:tbl>
      <w:tblPr>
        <w:tblLayout w:type="fixed"/>
        <w:tblInd w:w="0" w:type="dxa"/>
        <w:tblCellMar>
          <w:top w:w="0" w:type="dxa"/>
          <w:left w:w="0" w:type="dxa"/>
          <w:bottom w:w="0" w:type="dxa"/>
          <w:right w:w="0" w:type="dxa"/>
        </w:tblCellMar>
      </w:tblPr>
      <w:tr>
        <w:trPr>
          <w:trHeight w:val="191"/>
        </w:trPr>
        <w:tc>
          <w:tcPr>
            <w:tcW w:w="30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3"/>
          </w:tcPr>
          <w:p>
            <w:pPr>
              <w:jc w:val="center"/>
              <w:ind w:right="220"/>
              <w:spacing w:after="0" w:line="191" w:lineRule="exact"/>
              <w:rPr>
                <w:sz w:val="20"/>
                <w:szCs w:val="20"/>
                <w:color w:val="auto"/>
              </w:rPr>
            </w:pPr>
            <w:r>
              <w:rPr>
                <w:rFonts w:ascii="Times New Roman" w:cs="Times New Roman" w:eastAsia="Times New Roman" w:hAnsi="Times New Roman"/>
                <w:sz w:val="18"/>
                <w:szCs w:val="18"/>
                <w:b w:val="1"/>
                <w:bCs w:val="1"/>
                <w:color w:val="auto"/>
                <w:w w:val="99"/>
              </w:rPr>
              <w:t>Net Amount</w:t>
            </w:r>
          </w:p>
        </w:tc>
        <w:tc>
          <w:tcPr>
            <w:tcW w:w="100" w:type="dxa"/>
            <w:vAlign w:val="bottom"/>
            <w:tcBorders>
              <w:top w:val="single" w:sz="8" w:color="auto"/>
            </w:tcBorders>
          </w:tcPr>
          <w:p>
            <w:pPr>
              <w:spacing w:after="0"/>
              <w:rPr>
                <w:sz w:val="16"/>
                <w:szCs w:val="16"/>
                <w:color w:val="auto"/>
              </w:rPr>
            </w:pPr>
          </w:p>
        </w:tc>
        <w:tc>
          <w:tcPr>
            <w:tcW w:w="2380" w:type="dxa"/>
            <w:vAlign w:val="bottom"/>
            <w:tcBorders>
              <w:top w:val="single" w:sz="8" w:color="auto"/>
            </w:tcBorders>
            <w:gridSpan w:val="6"/>
          </w:tcPr>
          <w:p>
            <w:pPr>
              <w:jc w:val="center"/>
              <w:ind w:right="100"/>
              <w:spacing w:after="0" w:line="191" w:lineRule="exact"/>
              <w:rPr>
                <w:sz w:val="20"/>
                <w:szCs w:val="20"/>
                <w:color w:val="auto"/>
              </w:rPr>
            </w:pPr>
            <w:r>
              <w:rPr>
                <w:rFonts w:ascii="Times New Roman" w:cs="Times New Roman" w:eastAsia="Times New Roman" w:hAnsi="Times New Roman"/>
                <w:sz w:val="18"/>
                <w:szCs w:val="18"/>
                <w:b w:val="1"/>
                <w:bCs w:val="1"/>
                <w:color w:val="auto"/>
                <w:w w:val="99"/>
              </w:rPr>
              <w:t>Gross Amount</w:t>
            </w:r>
          </w:p>
        </w:tc>
        <w:tc>
          <w:tcPr>
            <w:tcW w:w="105" w:type="dxa"/>
            <w:vAlign w:val="bottom"/>
            <w:tcBorders>
              <w:top w:val="single" w:sz="8" w:color="auto"/>
            </w:tcBorders>
          </w:tcPr>
          <w:p>
            <w:pPr>
              <w:spacing w:after="0"/>
              <w:rPr>
                <w:sz w:val="16"/>
                <w:szCs w:val="16"/>
                <w:color w:val="auto"/>
              </w:rPr>
            </w:pPr>
          </w:p>
        </w:tc>
        <w:tc>
          <w:tcPr>
            <w:tcW w:w="115"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r>
      <w:tr>
        <w:trPr>
          <w:trHeight w:val="217"/>
        </w:trPr>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 Liabilities</w:t>
            </w:r>
          </w:p>
        </w:tc>
        <w:tc>
          <w:tcPr>
            <w:tcW w:w="100" w:type="dxa"/>
            <w:vAlign w:val="bottom"/>
          </w:tcPr>
          <w:p>
            <w:pPr>
              <w:spacing w:after="0"/>
              <w:rPr>
                <w:sz w:val="18"/>
                <w:szCs w:val="18"/>
                <w:color w:val="auto"/>
              </w:rPr>
            </w:pPr>
          </w:p>
        </w:tc>
        <w:tc>
          <w:tcPr>
            <w:tcW w:w="238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Not Offset in the</w:t>
            </w:r>
          </w:p>
        </w:tc>
        <w:tc>
          <w:tcPr>
            <w:tcW w:w="105" w:type="dxa"/>
            <w:vAlign w:val="bottom"/>
          </w:tcPr>
          <w:p>
            <w:pPr>
              <w:spacing w:after="0"/>
              <w:rPr>
                <w:sz w:val="18"/>
                <w:szCs w:val="18"/>
                <w:color w:val="auto"/>
              </w:rPr>
            </w:pPr>
          </w:p>
        </w:tc>
        <w:tc>
          <w:tcPr>
            <w:tcW w:w="115"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Presented</w:t>
            </w:r>
          </w:p>
        </w:tc>
        <w:tc>
          <w:tcPr>
            <w:tcW w:w="100" w:type="dxa"/>
            <w:vAlign w:val="bottom"/>
          </w:tcPr>
          <w:p>
            <w:pPr>
              <w:spacing w:after="0"/>
              <w:rPr>
                <w:sz w:val="18"/>
                <w:szCs w:val="18"/>
                <w:color w:val="auto"/>
              </w:rPr>
            </w:pPr>
          </w:p>
        </w:tc>
        <w:tc>
          <w:tcPr>
            <w:tcW w:w="238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tc>
        <w:tc>
          <w:tcPr>
            <w:tcW w:w="105" w:type="dxa"/>
            <w:vAlign w:val="bottom"/>
          </w:tcPr>
          <w:p>
            <w:pPr>
              <w:spacing w:after="0"/>
              <w:rPr>
                <w:sz w:val="18"/>
                <w:szCs w:val="18"/>
                <w:color w:val="auto"/>
              </w:rPr>
            </w:pPr>
          </w:p>
        </w:tc>
        <w:tc>
          <w:tcPr>
            <w:tcW w:w="115"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5"/>
        </w:trPr>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Offset in the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in the</w:t>
            </w:r>
          </w:p>
        </w:tc>
        <w:tc>
          <w:tcPr>
            <w:tcW w:w="1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Financial</w:t>
            </w:r>
          </w:p>
        </w:tc>
        <w:tc>
          <w:tcPr>
            <w:tcW w:w="105" w:type="dxa"/>
            <w:vAlign w:val="bottom"/>
          </w:tcPr>
          <w:p>
            <w:pPr>
              <w:spacing w:after="0"/>
              <w:rPr>
                <w:sz w:val="20"/>
                <w:szCs w:val="20"/>
                <w:color w:val="auto"/>
              </w:rPr>
            </w:pPr>
          </w:p>
        </w:tc>
        <w:tc>
          <w:tcPr>
            <w:tcW w:w="115"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b w:val="1"/>
                <w:bCs w:val="1"/>
                <w:color w:val="auto"/>
                <w:w w:val="99"/>
              </w:rPr>
              <w:t>Amount of</w:t>
            </w:r>
          </w:p>
        </w:tc>
        <w:tc>
          <w:tcPr>
            <w:tcW w:w="1080" w:type="dxa"/>
            <w:vAlign w:val="bottom"/>
            <w:gridSpan w:val="4"/>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rPr>
              <w:t>Consolidated</w:t>
            </w:r>
          </w:p>
        </w:tc>
        <w:tc>
          <w:tcPr>
            <w:tcW w:w="220" w:type="dxa"/>
            <w:vAlign w:val="bottom"/>
          </w:tcPr>
          <w:p>
            <w:pPr>
              <w:spacing w:after="0"/>
              <w:rPr>
                <w:sz w:val="16"/>
                <w:szCs w:val="16"/>
                <w:color w:val="auto"/>
              </w:rPr>
            </w:pPr>
          </w:p>
        </w:tc>
        <w:tc>
          <w:tcPr>
            <w:tcW w:w="1280" w:type="dxa"/>
            <w:vAlign w:val="bottom"/>
            <w:gridSpan w:val="3"/>
          </w:tcPr>
          <w:p>
            <w:pPr>
              <w:jc w:val="center"/>
              <w:ind w:right="220"/>
              <w:spacing w:after="0" w:line="191" w:lineRule="exact"/>
              <w:rPr>
                <w:sz w:val="20"/>
                <w:szCs w:val="20"/>
                <w:color w:val="auto"/>
              </w:rPr>
            </w:pPr>
            <w:r>
              <w:rPr>
                <w:rFonts w:ascii="Times New Roman" w:cs="Times New Roman" w:eastAsia="Times New Roman" w:hAnsi="Times New Roman"/>
                <w:sz w:val="18"/>
                <w:szCs w:val="18"/>
                <w:b w:val="1"/>
                <w:bCs w:val="1"/>
                <w:color w:val="auto"/>
              </w:rPr>
              <w:t>Consolidated</w:t>
            </w:r>
          </w:p>
        </w:tc>
        <w:tc>
          <w:tcPr>
            <w:tcW w:w="1180" w:type="dxa"/>
            <w:vAlign w:val="bottom"/>
            <w:gridSpan w:val="3"/>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Instruments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20"/>
              <w:spacing w:after="0" w:line="191" w:lineRule="exact"/>
              <w:rPr>
                <w:sz w:val="20"/>
                <w:szCs w:val="20"/>
                <w:color w:val="auto"/>
              </w:rPr>
            </w:pPr>
            <w:r>
              <w:rPr>
                <w:rFonts w:ascii="Times New Roman" w:cs="Times New Roman" w:eastAsia="Times New Roman" w:hAnsi="Times New Roman"/>
                <w:sz w:val="18"/>
                <w:szCs w:val="18"/>
                <w:b w:val="1"/>
                <w:bCs w:val="1"/>
                <w:color w:val="auto"/>
              </w:rPr>
              <w:t>Cash</w:t>
            </w:r>
          </w:p>
        </w:tc>
        <w:tc>
          <w:tcPr>
            <w:tcW w:w="105" w:type="dxa"/>
            <w:vAlign w:val="bottom"/>
          </w:tcPr>
          <w:p>
            <w:pPr>
              <w:spacing w:after="0"/>
              <w:rPr>
                <w:sz w:val="16"/>
                <w:szCs w:val="16"/>
                <w:color w:val="auto"/>
              </w:rPr>
            </w:pPr>
          </w:p>
        </w:tc>
        <w:tc>
          <w:tcPr>
            <w:tcW w:w="115"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7"/>
        </w:trPr>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Recognized</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0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Posted as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Posted as</w:t>
            </w:r>
          </w:p>
        </w:tc>
        <w:tc>
          <w:tcPr>
            <w:tcW w:w="105" w:type="dxa"/>
            <w:vAlign w:val="bottom"/>
          </w:tcPr>
          <w:p>
            <w:pPr>
              <w:spacing w:after="0"/>
              <w:rPr>
                <w:sz w:val="18"/>
                <w:szCs w:val="18"/>
                <w:color w:val="auto"/>
              </w:rPr>
            </w:pPr>
          </w:p>
        </w:tc>
        <w:tc>
          <w:tcPr>
            <w:tcW w:w="115"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60"/>
        </w:trPr>
        <w:tc>
          <w:tcPr>
            <w:tcW w:w="3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Sheet</w:t>
            </w: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Sheet</w:t>
            </w: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Collateral</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Collateral</w:t>
            </w:r>
          </w:p>
        </w:tc>
        <w:tc>
          <w:tcPr>
            <w:tcW w:w="105" w:type="dxa"/>
            <w:vAlign w:val="bottom"/>
            <w:tcBorders>
              <w:bottom w:val="single" w:sz="8" w:color="auto"/>
            </w:tcBorders>
          </w:tcPr>
          <w:p>
            <w:pPr>
              <w:spacing w:after="0"/>
              <w:rPr>
                <w:sz w:val="22"/>
                <w:szCs w:val="22"/>
                <w:color w:val="auto"/>
              </w:rPr>
            </w:pPr>
          </w:p>
        </w:tc>
        <w:tc>
          <w:tcPr>
            <w:tcW w:w="115"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182"/>
        </w:trPr>
        <w:tc>
          <w:tcPr>
            <w:tcW w:w="302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980" w:type="dxa"/>
            <w:vAlign w:val="bottom"/>
            <w:tcBorders>
              <w:top w:val="single" w:sz="8" w:color="DDDDDD"/>
              <w:bottom w:val="single" w:sz="8" w:color="DDDDDD"/>
            </w:tcBorders>
            <w:shd w:val="clear" w:color="auto" w:fill="DDDDDD"/>
          </w:tcPr>
          <w:p>
            <w:pPr>
              <w:spacing w:after="0"/>
              <w:rPr>
                <w:sz w:val="15"/>
                <w:szCs w:val="15"/>
                <w:color w:val="auto"/>
              </w:rPr>
            </w:pPr>
          </w:p>
        </w:tc>
        <w:tc>
          <w:tcPr>
            <w:tcW w:w="22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40" w:type="dxa"/>
            <w:vAlign w:val="bottom"/>
            <w:tcBorders>
              <w:top w:val="single" w:sz="8" w:color="DDDDDD"/>
              <w:bottom w:val="single" w:sz="8" w:color="DDDDDD"/>
            </w:tcBorders>
            <w:shd w:val="clear" w:color="auto" w:fill="DDDDDD"/>
          </w:tcPr>
          <w:p>
            <w:pPr>
              <w:spacing w:after="0"/>
              <w:rPr>
                <w:sz w:val="15"/>
                <w:szCs w:val="15"/>
                <w:color w:val="auto"/>
              </w:rPr>
            </w:pPr>
          </w:p>
        </w:tc>
        <w:tc>
          <w:tcPr>
            <w:tcW w:w="860" w:type="dxa"/>
            <w:vAlign w:val="bottom"/>
            <w:tcBorders>
              <w:top w:val="single" w:sz="8" w:color="DDDDDD"/>
              <w:bottom w:val="single" w:sz="8" w:color="DDDDDD"/>
            </w:tcBorders>
            <w:shd w:val="clear" w:color="auto" w:fill="DDDDDD"/>
          </w:tcPr>
          <w:p>
            <w:pPr>
              <w:spacing w:after="0"/>
              <w:rPr>
                <w:sz w:val="15"/>
                <w:szCs w:val="15"/>
                <w:color w:val="auto"/>
              </w:rPr>
            </w:pPr>
          </w:p>
        </w:tc>
        <w:tc>
          <w:tcPr>
            <w:tcW w:w="80" w:type="dxa"/>
            <w:vAlign w:val="bottom"/>
            <w:tcBorders>
              <w:top w:val="single" w:sz="8" w:color="DDDDDD"/>
              <w:bottom w:val="single" w:sz="8" w:color="DDDDDD"/>
            </w:tcBorders>
            <w:shd w:val="clear" w:color="auto" w:fill="DDDDDD"/>
          </w:tcPr>
          <w:p>
            <w:pPr>
              <w:spacing w:after="0"/>
              <w:rPr>
                <w:sz w:val="15"/>
                <w:szCs w:val="15"/>
                <w:color w:val="auto"/>
              </w:rPr>
            </w:pPr>
          </w:p>
        </w:tc>
        <w:tc>
          <w:tcPr>
            <w:tcW w:w="22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980" w:type="dxa"/>
            <w:vAlign w:val="bottom"/>
            <w:tcBorders>
              <w:top w:val="single" w:sz="8" w:color="DDDDDD"/>
              <w:bottom w:val="single" w:sz="8" w:color="DDDDDD"/>
            </w:tcBorders>
            <w:shd w:val="clear" w:color="auto" w:fill="DDDDDD"/>
          </w:tcPr>
          <w:p>
            <w:pPr>
              <w:spacing w:after="0"/>
              <w:rPr>
                <w:sz w:val="15"/>
                <w:szCs w:val="15"/>
                <w:color w:val="auto"/>
              </w:rPr>
            </w:pPr>
          </w:p>
        </w:tc>
        <w:tc>
          <w:tcPr>
            <w:tcW w:w="2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98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98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05" w:type="dxa"/>
            <w:vAlign w:val="bottom"/>
            <w:tcBorders>
              <w:top w:val="single" w:sz="8" w:color="DDDDDD"/>
              <w:bottom w:val="single" w:sz="8" w:color="DDDDDD"/>
            </w:tcBorders>
            <w:shd w:val="clear" w:color="auto" w:fill="DDDDDD"/>
          </w:tcPr>
          <w:p>
            <w:pPr>
              <w:spacing w:after="0"/>
              <w:rPr>
                <w:sz w:val="15"/>
                <w:szCs w:val="15"/>
                <w:color w:val="auto"/>
              </w:rPr>
            </w:pPr>
          </w:p>
        </w:tc>
        <w:tc>
          <w:tcPr>
            <w:tcW w:w="115" w:type="dxa"/>
            <w:vAlign w:val="bottom"/>
            <w:tcBorders>
              <w:top w:val="single" w:sz="8" w:color="DDDDDD"/>
              <w:bottom w:val="single" w:sz="8" w:color="DDDDDD"/>
            </w:tcBorders>
            <w:shd w:val="clear" w:color="auto" w:fill="DDDDDD"/>
          </w:tcPr>
          <w:p>
            <w:pPr>
              <w:spacing w:after="0"/>
              <w:rPr>
                <w:sz w:val="15"/>
                <w:szCs w:val="15"/>
                <w:color w:val="auto"/>
              </w:rPr>
            </w:pPr>
          </w:p>
        </w:tc>
        <w:tc>
          <w:tcPr>
            <w:tcW w:w="98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20" w:type="dxa"/>
            <w:vAlign w:val="bottom"/>
            <w:tcBorders>
              <w:top w:val="single" w:sz="8" w:color="auto"/>
              <w:bottom w:val="single" w:sz="8" w:color="DDDDDD"/>
            </w:tcBorders>
            <w:shd w:val="clear" w:color="auto" w:fill="DDDDDD"/>
          </w:tcPr>
          <w:p>
            <w:pPr>
              <w:spacing w:after="0"/>
              <w:rPr>
                <w:sz w:val="15"/>
                <w:szCs w:val="15"/>
                <w:color w:val="auto"/>
              </w:rPr>
            </w:pPr>
          </w:p>
        </w:tc>
      </w:tr>
      <w:tr>
        <w:trPr>
          <w:trHeight w:val="229"/>
        </w:trPr>
        <w:tc>
          <w:tcPr>
            <w:tcW w:w="3020" w:type="dxa"/>
            <w:vAlign w:val="bottom"/>
            <w:tcBorders>
              <w:bottom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Repurchase Agreements</w:t>
            </w:r>
          </w:p>
        </w:tc>
        <w:tc>
          <w:tcPr>
            <w:tcW w:w="220" w:type="dxa"/>
            <w:vAlign w:val="bottom"/>
            <w:tcBorders>
              <w:bottom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85,326</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85,326</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(84,758 )</w:t>
            </w:r>
          </w:p>
        </w:tc>
        <w:tc>
          <w:tcPr>
            <w:tcW w:w="220" w:type="dxa"/>
            <w:vAlign w:val="bottom"/>
            <w:tcBorders>
              <w:bottom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(568 )</w:t>
            </w:r>
          </w:p>
        </w:tc>
        <w:tc>
          <w:tcPr>
            <w:tcW w:w="220" w:type="dxa"/>
            <w:vAlign w:val="bottom"/>
            <w:tcBorders>
              <w:bottom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09"/>
        </w:trPr>
        <w:tc>
          <w:tcPr>
            <w:tcW w:w="3020" w:type="dxa"/>
            <w:vAlign w:val="bottom"/>
            <w:tcBorders>
              <w:top w:val="single" w:sz="8" w:color="DDDDDD"/>
              <w:bottom w:val="single" w:sz="8" w:color="DDDDDD"/>
            </w:tcBorders>
            <w:shd w:val="clear" w:color="auto" w:fill="DDDDDD"/>
          </w:tcPr>
          <w:p>
            <w:pPr>
              <w:spacing w:after="0"/>
              <w:rPr>
                <w:sz w:val="17"/>
                <w:szCs w:val="17"/>
                <w:color w:val="auto"/>
              </w:rPr>
            </w:pPr>
          </w:p>
        </w:tc>
        <w:tc>
          <w:tcPr>
            <w:tcW w:w="12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rPr>
              <w:t>85,326</w:t>
            </w:r>
          </w:p>
        </w:tc>
        <w:tc>
          <w:tcPr>
            <w:tcW w:w="22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40" w:type="dxa"/>
            <w:vAlign w:val="bottom"/>
            <w:tcBorders>
              <w:top w:val="single" w:sz="8" w:color="DDDDDD"/>
              <w:bottom w:val="single" w:sz="8" w:color="DDDDDD"/>
            </w:tcBorders>
            <w:shd w:val="clear" w:color="auto" w:fill="DDDDDD"/>
          </w:tcPr>
          <w:p>
            <w:pPr>
              <w:spacing w:after="0"/>
              <w:rPr>
                <w:sz w:val="17"/>
                <w:szCs w:val="17"/>
                <w:color w:val="auto"/>
              </w:rPr>
            </w:pPr>
          </w:p>
        </w:tc>
        <w:tc>
          <w:tcPr>
            <w:tcW w:w="860" w:type="dxa"/>
            <w:vAlign w:val="bottom"/>
            <w:tcBorders>
              <w:top w:val="single" w:sz="8" w:color="DDDDDD"/>
              <w:bottom w:val="single" w:sz="8" w:color="DDDDDD"/>
            </w:tcBorders>
            <w:shd w:val="clear" w:color="auto" w:fill="DDDDDD"/>
          </w:tcPr>
          <w:p>
            <w:pPr>
              <w:spacing w:after="0"/>
              <w:rPr>
                <w:sz w:val="17"/>
                <w:szCs w:val="17"/>
                <w:color w:val="auto"/>
              </w:rPr>
            </w:pPr>
          </w:p>
        </w:tc>
        <w:tc>
          <w:tcPr>
            <w:tcW w:w="8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98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rPr>
              <w:t>85,326</w:t>
            </w:r>
          </w:p>
        </w:tc>
        <w:tc>
          <w:tcPr>
            <w:tcW w:w="20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rPr>
              <w:t>(84,758</w:t>
            </w:r>
          </w:p>
        </w:tc>
        <w:tc>
          <w:tcPr>
            <w:tcW w:w="10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6"/>
                <w:szCs w:val="16"/>
                <w:color w:val="auto"/>
                <w:highlight w:val="lightGray"/>
                <w:w w:val="74"/>
              </w:rPr>
              <w:t>)</w:t>
            </w:r>
          </w:p>
        </w:tc>
        <w:tc>
          <w:tcPr>
            <w:tcW w:w="105" w:type="dxa"/>
            <w:vAlign w:val="bottom"/>
            <w:tcBorders>
              <w:top w:val="single" w:sz="8" w:color="DDDDDD"/>
              <w:bottom w:val="single" w:sz="8" w:color="DDDDDD"/>
            </w:tcBorders>
            <w:shd w:val="clear" w:color="auto" w:fill="DDDDDD"/>
          </w:tcPr>
          <w:p>
            <w:pPr>
              <w:spacing w:after="0"/>
              <w:rPr>
                <w:sz w:val="17"/>
                <w:szCs w:val="17"/>
                <w:color w:val="auto"/>
              </w:rPr>
            </w:pPr>
          </w:p>
        </w:tc>
        <w:tc>
          <w:tcPr>
            <w:tcW w:w="115"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highlight w:val="lightGray"/>
              </w:rPr>
              <w:t>$</w:t>
            </w:r>
          </w:p>
        </w:tc>
        <w:tc>
          <w:tcPr>
            <w:tcW w:w="98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20" w:type="dxa"/>
            <w:vAlign w:val="bottom"/>
            <w:tcBorders>
              <w:top w:val="single" w:sz="8" w:color="auto"/>
              <w:bottom w:val="single" w:sz="8" w:color="DDDDDD"/>
            </w:tcBorders>
            <w:shd w:val="clear" w:color="auto" w:fill="DDDDDD"/>
          </w:tcPr>
          <w:p>
            <w:pPr>
              <w:spacing w:after="0"/>
              <w:rPr>
                <w:sz w:val="17"/>
                <w:szCs w:val="17"/>
                <w:color w:val="auto"/>
              </w:rPr>
            </w:pPr>
          </w:p>
        </w:tc>
      </w:tr>
      <w:tr>
        <w:trPr>
          <w:trHeight w:val="20"/>
        </w:trPr>
        <w:tc>
          <w:tcPr>
            <w:tcW w:w="3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5" w:type="dxa"/>
            <w:vAlign w:val="bottom"/>
            <w:tcBorders>
              <w:top w:val="single" w:sz="8" w:color="auto"/>
              <w:bottom w:val="single" w:sz="8" w:color="auto"/>
            </w:tcBorders>
          </w:tcPr>
          <w:p>
            <w:pPr>
              <w:spacing w:after="0" w:line="20" w:lineRule="exact"/>
              <w:rPr>
                <w:sz w:val="1"/>
                <w:szCs w:val="1"/>
                <w:color w:val="auto"/>
              </w:rPr>
            </w:pPr>
          </w:p>
        </w:tc>
        <w:tc>
          <w:tcPr>
            <w:tcW w:w="115"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3020" w:type="dxa"/>
            <w:vAlign w:val="bottom"/>
            <w:tcBorders>
              <w:bottom w:val="single" w:sz="8" w:color="DDDDDD"/>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40" w:type="dxa"/>
            <w:vAlign w:val="bottom"/>
            <w:tcBorders>
              <w:bottom w:val="single" w:sz="8" w:color="DDDDDD"/>
            </w:tcBorders>
          </w:tcPr>
          <w:p>
            <w:pPr>
              <w:spacing w:after="0"/>
              <w:rPr>
                <w:sz w:val="17"/>
                <w:szCs w:val="17"/>
                <w:color w:val="auto"/>
              </w:rPr>
            </w:pPr>
          </w:p>
        </w:tc>
        <w:tc>
          <w:tcPr>
            <w:tcW w:w="86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spacing w:after="0"/>
              <w:rPr>
                <w:sz w:val="17"/>
                <w:szCs w:val="17"/>
                <w:color w:val="auto"/>
              </w:rPr>
            </w:pPr>
          </w:p>
        </w:tc>
        <w:tc>
          <w:tcPr>
            <w:tcW w:w="2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5" w:type="dxa"/>
            <w:vAlign w:val="bottom"/>
            <w:tcBorders>
              <w:bottom w:val="single" w:sz="8" w:color="DDDDDD"/>
            </w:tcBorders>
          </w:tcPr>
          <w:p>
            <w:pPr>
              <w:spacing w:after="0"/>
              <w:rPr>
                <w:sz w:val="17"/>
                <w:szCs w:val="17"/>
                <w:color w:val="auto"/>
              </w:rPr>
            </w:pPr>
          </w:p>
        </w:tc>
        <w:tc>
          <w:tcPr>
            <w:tcW w:w="115"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r>
      <w:tr>
        <w:trPr>
          <w:trHeight w:val="194"/>
        </w:trPr>
        <w:tc>
          <w:tcPr>
            <w:tcW w:w="3020" w:type="dxa"/>
            <w:vAlign w:val="bottom"/>
            <w:tcBorders>
              <w:bottom w:val="single" w:sz="8" w:color="auto"/>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Repurchase Agreements</w:t>
            </w:r>
          </w:p>
        </w:tc>
        <w:tc>
          <w:tcPr>
            <w:tcW w:w="12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117,181</w:t>
            </w:r>
          </w:p>
        </w:tc>
        <w:tc>
          <w:tcPr>
            <w:tcW w:w="22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40" w:type="dxa"/>
            <w:vAlign w:val="bottom"/>
            <w:tcBorders>
              <w:bottom w:val="single" w:sz="8" w:color="auto"/>
            </w:tcBorders>
            <w:shd w:val="clear" w:color="auto" w:fill="DDDDDD"/>
          </w:tcPr>
          <w:p>
            <w:pPr>
              <w:spacing w:after="0"/>
              <w:rPr>
                <w:sz w:val="16"/>
                <w:szCs w:val="16"/>
                <w:color w:val="auto"/>
              </w:rPr>
            </w:pPr>
          </w:p>
        </w:tc>
        <w:tc>
          <w:tcPr>
            <w:tcW w:w="860" w:type="dxa"/>
            <w:vAlign w:val="bottom"/>
            <w:tcBorders>
              <w:bottom w:val="single" w:sz="8" w:color="auto"/>
            </w:tcBorders>
            <w:shd w:val="clear" w:color="auto" w:fill="DDDDDD"/>
          </w:tcPr>
          <w:p>
            <w:pPr>
              <w:spacing w:after="0"/>
              <w:rPr>
                <w:sz w:val="16"/>
                <w:szCs w:val="16"/>
                <w:color w:val="auto"/>
              </w:rPr>
            </w:pPr>
          </w:p>
        </w:tc>
        <w:tc>
          <w:tcPr>
            <w:tcW w:w="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98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117,181</w:t>
            </w:r>
          </w:p>
        </w:tc>
        <w:tc>
          <w:tcPr>
            <w:tcW w:w="20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(116,552</w:t>
            </w: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05" w:type="dxa"/>
            <w:vAlign w:val="bottom"/>
            <w:tcBorders>
              <w:bottom w:val="single" w:sz="8" w:color="auto"/>
            </w:tcBorders>
            <w:shd w:val="clear" w:color="auto" w:fill="DDDDDD"/>
          </w:tcPr>
          <w:p>
            <w:pPr>
              <w:spacing w:after="0"/>
              <w:rPr>
                <w:sz w:val="16"/>
                <w:szCs w:val="16"/>
                <w:color w:val="auto"/>
              </w:rPr>
            </w:pPr>
          </w:p>
        </w:tc>
        <w:tc>
          <w:tcPr>
            <w:tcW w:w="115"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rPr>
              <w:t>$</w:t>
            </w:r>
          </w:p>
        </w:tc>
        <w:tc>
          <w:tcPr>
            <w:tcW w:w="98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DDDDDD"/>
          </w:tcPr>
          <w:p>
            <w:pPr>
              <w:spacing w:after="0"/>
              <w:rPr>
                <w:sz w:val="16"/>
                <w:szCs w:val="16"/>
                <w:color w:val="auto"/>
              </w:rPr>
            </w:pPr>
          </w:p>
        </w:tc>
        <w:tc>
          <w:tcPr>
            <w:tcW w:w="20" w:type="dxa"/>
            <w:vAlign w:val="bottom"/>
            <w:tcBorders>
              <w:bottom w:val="single" w:sz="8" w:color="auto"/>
            </w:tcBorders>
            <w:shd w:val="clear" w:color="auto" w:fill="DDDDDD"/>
          </w:tcPr>
          <w:p>
            <w:pPr>
              <w:spacing w:after="0"/>
              <w:rPr>
                <w:sz w:val="16"/>
                <w:szCs w:val="16"/>
                <w:color w:val="auto"/>
              </w:rPr>
            </w:pPr>
          </w:p>
        </w:tc>
      </w:tr>
      <w:tr>
        <w:trPr>
          <w:trHeight w:val="232"/>
        </w:trPr>
        <w:tc>
          <w:tcPr>
            <w:tcW w:w="3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117,181</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117,181</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(116,552 )</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(629 )</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0"/>
        </w:trPr>
        <w:tc>
          <w:tcPr>
            <w:tcW w:w="3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5" w:type="dxa"/>
            <w:vAlign w:val="bottom"/>
            <w:tcBorders>
              <w:bottom w:val="single" w:sz="8" w:color="auto"/>
            </w:tcBorders>
          </w:tcPr>
          <w:p>
            <w:pPr>
              <w:spacing w:after="0" w:line="20" w:lineRule="exact"/>
              <w:rPr>
                <w:sz w:val="1"/>
                <w:szCs w:val="1"/>
                <w:color w:val="auto"/>
              </w:rPr>
            </w:pPr>
          </w:p>
        </w:tc>
        <w:tc>
          <w:tcPr>
            <w:tcW w:w="115"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4460240</wp:posOffset>
                </wp:positionH>
                <wp:positionV relativeFrom="paragraph">
                  <wp:posOffset>-1336675</wp:posOffset>
                </wp:positionV>
                <wp:extent cx="1577340"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734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2pt,-105.2499pt" to="475.4pt,-105.2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-457835</wp:posOffset>
                </wp:positionV>
                <wp:extent cx="6858000"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36.0499pt" to="540.2pt,-36.0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-173990</wp:posOffset>
                </wp:positionV>
                <wp:extent cx="6858000"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65">
                          <a:solidFill>
                            <a:srgbClr val="FFFFFF"/>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3.6999pt" to="540.2pt,-13.6999pt" o:allowincell="f" strokecolor="#FFFFFF" strokeweight="0.139pt"/>
            </w:pict>
          </mc:Fallback>
        </mc:AlternateContent>
      </w:r>
    </w:p>
    <w:p>
      <w:pPr>
        <w:spacing w:after="0" w:line="190" w:lineRule="exact"/>
        <w:rPr>
          <w:sz w:val="20"/>
          <w:szCs w:val="20"/>
          <w:color w:val="auto"/>
        </w:rPr>
      </w:pPr>
    </w:p>
    <w:p>
      <w:pPr>
        <w:ind w:right="80" w:firstLine="360"/>
        <w:spacing w:after="0" w:line="252" w:lineRule="auto"/>
        <w:rPr>
          <w:sz w:val="20"/>
          <w:szCs w:val="20"/>
          <w:color w:val="auto"/>
        </w:rPr>
      </w:pPr>
      <w:r>
        <w:rPr>
          <w:rFonts w:ascii="Times New Roman" w:cs="Times New Roman" w:eastAsia="Times New Roman" w:hAnsi="Times New Roman"/>
          <w:sz w:val="20"/>
          <w:szCs w:val="20"/>
          <w:color w:val="auto"/>
        </w:rPr>
        <w:t>The amounts disclosed for collateral received by or posted to the same counterparty are limited to the amount sufficient to reduce the asset or liability presented in the consolidated balance sheet to zero. The fair value of the actual collateral received by or posted to the same counterparty typically exceeds the amounts presented. See Note 7 for a discussion of collateral posted for, or received against, repurchase obligations and derivative instruments.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LONG-TERM DEBT</w:t>
      </w: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Long-term debt as of December 31, 2025 and 2024 is summarized as follows: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23495</wp:posOffset>
                </wp:positionV>
                <wp:extent cx="6858000"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65">
                          <a:solidFill>
                            <a:srgbClr val="FFFFFF"/>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85pt" to="540.2pt,1.85pt" o:allowincell="f" strokecolor="#FFFFFF" strokeweight="0.139pt"/>
            </w:pict>
          </mc:Fallback>
        </mc:AlternateConten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r>
      <w:tr>
        <w:trPr>
          <w:trHeight w:val="187"/>
        </w:trPr>
        <w:tc>
          <w:tcPr>
            <w:tcW w:w="7560" w:type="dxa"/>
            <w:vAlign w:val="bottom"/>
            <w:tcBorders>
              <w:top w:val="single" w:sz="8" w:color="DDDDDD"/>
            </w:tcBorders>
            <w:shd w:val="clear" w:color="auto" w:fill="DDDDDD"/>
          </w:tcPr>
          <w:p>
            <w:pPr>
              <w:spacing w:after="0" w:line="187" w:lineRule="exact"/>
              <w:rPr>
                <w:sz w:val="20"/>
                <w:szCs w:val="20"/>
                <w:color w:val="auto"/>
              </w:rPr>
            </w:pPr>
            <w:r>
              <w:rPr>
                <w:rFonts w:ascii="Times New Roman" w:cs="Times New Roman" w:eastAsia="Times New Roman" w:hAnsi="Times New Roman"/>
                <w:sz w:val="18"/>
                <w:szCs w:val="18"/>
                <w:color w:val="auto"/>
              </w:rPr>
              <w:t>Junior subordinated debt</w:t>
            </w:r>
          </w:p>
        </w:tc>
        <w:tc>
          <w:tcPr>
            <w:tcW w:w="1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780" w:type="dxa"/>
            <w:vAlign w:val="bottom"/>
            <w:tcBorders>
              <w:top w:val="single" w:sz="8" w:color="DDDDDD"/>
            </w:tcBorders>
            <w:shd w:val="clear" w:color="auto" w:fill="DDDDDD"/>
          </w:tcPr>
          <w:p>
            <w:pPr>
              <w:spacing w:after="0"/>
              <w:rPr>
                <w:sz w:val="16"/>
                <w:szCs w:val="16"/>
                <w:color w:val="auto"/>
              </w:rPr>
            </w:pPr>
          </w:p>
        </w:tc>
        <w:tc>
          <w:tcPr>
            <w:tcW w:w="52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26,804</w:t>
            </w:r>
          </w:p>
        </w:tc>
        <w:tc>
          <w:tcPr>
            <w:tcW w:w="2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26,804</w:t>
            </w:r>
          </w:p>
        </w:tc>
        <w:tc>
          <w:tcPr>
            <w:tcW w:w="100" w:type="dxa"/>
            <w:vAlign w:val="bottom"/>
            <w:tcBorders>
              <w:top w:val="single" w:sz="8" w:color="DDDDDD"/>
            </w:tcBorders>
            <w:shd w:val="clear" w:color="auto" w:fill="DDDDDD"/>
          </w:tcPr>
          <w:p>
            <w:pPr>
              <w:spacing w:after="0"/>
              <w:rPr>
                <w:sz w:val="16"/>
                <w:szCs w:val="16"/>
                <w:color w:val="auto"/>
              </w:rPr>
            </w:pPr>
          </w:p>
        </w:tc>
        <w:tc>
          <w:tcPr>
            <w:tcW w:w="20" w:type="dxa"/>
            <w:vAlign w:val="bottom"/>
            <w:tcBorders>
              <w:top w:val="single" w:sz="8" w:color="auto"/>
            </w:tcBorders>
            <w:shd w:val="clear" w:color="auto" w:fill="DDDDDD"/>
          </w:tcPr>
          <w:p>
            <w:pPr>
              <w:spacing w:after="0"/>
              <w:rPr>
                <w:sz w:val="16"/>
                <w:szCs w:val="16"/>
                <w:color w:val="auto"/>
              </w:rPr>
            </w:pPr>
          </w:p>
        </w:tc>
      </w:tr>
      <w:tr>
        <w:trPr>
          <w:trHeight w:val="245"/>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Note payable</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10"/>
        </w:trPr>
        <w:tc>
          <w:tcPr>
            <w:tcW w:w="756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780" w:type="dxa"/>
            <w:vAlign w:val="bottom"/>
            <w:tcBorders>
              <w:top w:val="single" w:sz="8" w:color="DDDDDD"/>
              <w:bottom w:val="single" w:sz="8" w:color="DDDDDD"/>
            </w:tcBorders>
            <w:shd w:val="clear" w:color="auto" w:fill="DDDDDD"/>
          </w:tcPr>
          <w:p>
            <w:pPr>
              <w:spacing w:after="0"/>
              <w:rPr>
                <w:sz w:val="17"/>
                <w:szCs w:val="17"/>
                <w:color w:val="auto"/>
              </w:rPr>
            </w:pPr>
          </w:p>
        </w:tc>
        <w:tc>
          <w:tcPr>
            <w:tcW w:w="52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27,347</w:t>
            </w:r>
          </w:p>
        </w:tc>
        <w:tc>
          <w:tcPr>
            <w:tcW w:w="22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27,368</w:t>
            </w: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20" w:type="dxa"/>
            <w:vAlign w:val="bottom"/>
            <w:tcBorders>
              <w:top w:val="single" w:sz="8" w:color="auto"/>
              <w:bottom w:val="single" w:sz="8" w:color="DDDDDD"/>
            </w:tcBorders>
            <w:shd w:val="clear" w:color="auto" w:fill="DDDDDD"/>
          </w:tcPr>
          <w:p>
            <w:pPr>
              <w:spacing w:after="0"/>
              <w:rPr>
                <w:sz w:val="17"/>
                <w:szCs w:val="17"/>
                <w:color w:val="auto"/>
              </w:rPr>
            </w:pPr>
          </w:p>
        </w:tc>
      </w:tr>
      <w:tr>
        <w:trPr>
          <w:trHeight w:val="20"/>
        </w:trPr>
        <w:tc>
          <w:tcPr>
            <w:tcW w:w="7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Junior Subordinated Debt</w:t>
      </w:r>
    </w:p>
    <w:p>
      <w:pPr>
        <w:spacing w:after="0" w:line="234" w:lineRule="exact"/>
        <w:rPr>
          <w:sz w:val="20"/>
          <w:szCs w:val="20"/>
          <w:color w:val="auto"/>
        </w:rPr>
      </w:pPr>
    </w:p>
    <w:p>
      <w:pPr>
        <w:ind w:right="60" w:firstLine="360"/>
        <w:spacing w:after="0" w:line="252" w:lineRule="auto"/>
        <w:rPr>
          <w:sz w:val="20"/>
          <w:szCs w:val="20"/>
          <w:color w:val="auto"/>
        </w:rPr>
      </w:pPr>
      <w:r>
        <w:rPr>
          <w:rFonts w:ascii="Times New Roman" w:cs="Times New Roman" w:eastAsia="Times New Roman" w:hAnsi="Times New Roman"/>
          <w:sz w:val="20"/>
          <w:szCs w:val="20"/>
          <w:color w:val="auto"/>
        </w:rPr>
        <w:t>During 2005, Bimini Capital sponsored the formation of a statutory trust, known as BCTII, 100% of the common equity of which is owned by Bimini Capital. It was formed for the purpose of issuing trust preferred capital securities to third-party investors and investing the proceeds from the sale of such capital securities solely in junior subordinated debt securities of Bimini Capital. The debt securities held by BCTII are the sole assets of BCTII.</w:t>
      </w:r>
    </w:p>
    <w:p>
      <w:pPr>
        <w:spacing w:after="0" w:line="185" w:lineRule="exact"/>
        <w:rPr>
          <w:sz w:val="20"/>
          <w:szCs w:val="20"/>
          <w:color w:val="auto"/>
        </w:rPr>
      </w:pPr>
    </w:p>
    <w:p>
      <w:pPr>
        <w:ind w:right="20" w:firstLine="360"/>
        <w:spacing w:after="0" w:line="246" w:lineRule="auto"/>
        <w:rPr>
          <w:sz w:val="20"/>
          <w:szCs w:val="20"/>
          <w:color w:val="auto"/>
        </w:rPr>
      </w:pPr>
      <w:r>
        <w:rPr>
          <w:rFonts w:ascii="Times New Roman" w:cs="Times New Roman" w:eastAsia="Times New Roman" w:hAnsi="Times New Roman"/>
          <w:sz w:val="20"/>
          <w:szCs w:val="20"/>
          <w:color w:val="auto"/>
        </w:rPr>
        <w:t>As of December 31, 2025 and 2024, the outstanding principal balance on the junior subordinated debt securities owed to BCTII was $26.8 million. The interest rate for the junior subordinated debt is the CME Term SOFR on the applicable reset date plus the tenor spread adjustment of 0.26161% plus the coupon spread of 3.50%. As of December 31, 2025 and 2024, the interest rate was 7.48% and 8.12%, respectively. The BCTII trust preferred securities and Bimini Capital's BCTII Junior Subordinated Notes require quarterly interest distributions, are redeemable at Bimini Capital's option, in whole or in part and without penalty, and have a final maturity of December 15, 2035. Bimini Capital's BCTII Junior Subordinated Notes are subordinate and junior in right of payment to all present and future senior indebtedness.</w:t>
      </w:r>
    </w:p>
    <w:p>
      <w:pPr>
        <w:spacing w:after="0" w:line="190" w:lineRule="exact"/>
        <w:rPr>
          <w:sz w:val="20"/>
          <w:szCs w:val="20"/>
          <w:color w:val="auto"/>
        </w:rPr>
      </w:pPr>
    </w:p>
    <w:p>
      <w:pPr>
        <w:jc w:val="both"/>
        <w:ind w:right="240" w:firstLine="360"/>
        <w:spacing w:after="0" w:line="252" w:lineRule="auto"/>
        <w:rPr>
          <w:sz w:val="20"/>
          <w:szCs w:val="20"/>
          <w:color w:val="auto"/>
        </w:rPr>
      </w:pPr>
      <w:r>
        <w:rPr>
          <w:rFonts w:ascii="Times New Roman" w:cs="Times New Roman" w:eastAsia="Times New Roman" w:hAnsi="Times New Roman"/>
          <w:sz w:val="20"/>
          <w:szCs w:val="20"/>
          <w:color w:val="auto"/>
        </w:rPr>
        <w:t>The Company's included consolidated financial statements present Bimini Capital's BCTII Junior Subordinated Notes issued to BCTII as a liability and Bimini Capital's investment in the common equity securities of BCTII as an asset (included in other assets). For financial statement purposes, Bimini Capital records payments of interest on the Junior Subordinated Notes issued to BCTII as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800"/>
          </w:cols>
          <w:pgMar w:left="720" w:top="796" w:right="720" w:bottom="135"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0"/>
          <w:szCs w:val="20"/>
          <w:b w:val="1"/>
          <w:bCs w:val="1"/>
          <w:color w:val="auto"/>
        </w:rPr>
        <w:t>Secured Note Payable</w:t>
      </w:r>
    </w:p>
    <w:p>
      <w:pPr>
        <w:spacing w:after="0" w:line="235" w:lineRule="exact"/>
        <w:rPr>
          <w:sz w:val="20"/>
          <w:szCs w:val="20"/>
          <w:color w:val="auto"/>
        </w:rPr>
      </w:pPr>
    </w:p>
    <w:p>
      <w:pPr>
        <w:jc w:val="both"/>
        <w:ind w:right="220" w:firstLine="360"/>
        <w:spacing w:after="0" w:line="252" w:lineRule="auto"/>
        <w:rPr>
          <w:sz w:val="20"/>
          <w:szCs w:val="20"/>
          <w:color w:val="auto"/>
        </w:rPr>
      </w:pPr>
      <w:r>
        <w:rPr>
          <w:rFonts w:ascii="Times New Roman" w:cs="Times New Roman" w:eastAsia="Times New Roman" w:hAnsi="Times New Roman"/>
          <w:sz w:val="20"/>
          <w:szCs w:val="20"/>
          <w:color w:val="auto"/>
        </w:rPr>
        <w:t>On October 30, 2019, the Company borrowed $680,000 from a bank. Through October 30, 2024, interest on the note accrued at 4.89%. Thereafter, interest accrues based on the weekly average yield to the United States Treasury securities adjusted to a constant maturity of 5 years, plus 3.25%. The interest rate reset to 7.37% on October 30, 2024 and will reset again on October 30, 2029. The note is secured by a mortgage on the Company’s office building and has a final maturity of October 30, 2039.</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table below presents the future scheduled principal payments on the Company’s long-term debt.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23495</wp:posOffset>
                </wp:positionV>
                <wp:extent cx="6858000"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85pt" to="540.2pt,1.85pt" o:allowincell="f" strokecolor="#FFFFFF" strokeweight="0.14pt"/>
            </w:pict>
          </mc:Fallback>
        </mc:AlternateConten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188"/>
        </w:trPr>
        <w:tc>
          <w:tcPr>
            <w:tcW w:w="9180" w:type="dxa"/>
            <w:vAlign w:val="bottom"/>
            <w:tcBorders>
              <w:top w:val="single" w:sz="8" w:color="DDDDDD"/>
            </w:tcBorders>
            <w:shd w:val="clear" w:color="auto" w:fill="DDDDDD"/>
          </w:tcPr>
          <w:p>
            <w:pPr>
              <w:spacing w:after="0" w:line="188" w:lineRule="exact"/>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jc w:val="right"/>
              <w:spacing w:after="0" w:line="188"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top w:val="single" w:sz="8" w:color="DDDDDD"/>
            </w:tcBorders>
            <w:shd w:val="clear" w:color="auto" w:fill="DDDDDD"/>
          </w:tcPr>
          <w:p>
            <w:pPr>
              <w:jc w:val="right"/>
              <w:spacing w:after="0" w:line="188" w:lineRule="exact"/>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DDDDDD"/>
            </w:tcBorders>
            <w:shd w:val="clear" w:color="auto" w:fill="DDDDDD"/>
          </w:tcPr>
          <w:p>
            <w:pPr>
              <w:spacing w:after="0"/>
              <w:rPr>
                <w:sz w:val="16"/>
                <w:szCs w:val="16"/>
                <w:color w:val="auto"/>
              </w:rPr>
            </w:pPr>
          </w:p>
        </w:tc>
        <w:tc>
          <w:tcPr>
            <w:tcW w:w="20" w:type="dxa"/>
            <w:vAlign w:val="bottom"/>
            <w:tcBorders>
              <w:top w:val="single" w:sz="8" w:color="auto"/>
            </w:tcBorders>
            <w:shd w:val="clear" w:color="auto" w:fill="DDDDDD"/>
          </w:tcPr>
          <w:p>
            <w:pPr>
              <w:spacing w:after="0"/>
              <w:rPr>
                <w:sz w:val="16"/>
                <w:szCs w:val="16"/>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91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17"/>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91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45"/>
        </w:trPr>
        <w:tc>
          <w:tcPr>
            <w:tcW w:w="9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27,212</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10"/>
        </w:trPr>
        <w:tc>
          <w:tcPr>
            <w:tcW w:w="918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27,347</w:t>
            </w: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20" w:type="dxa"/>
            <w:vAlign w:val="bottom"/>
            <w:tcBorders>
              <w:top w:val="single" w:sz="8" w:color="auto"/>
              <w:bottom w:val="single" w:sz="8" w:color="DDDDDD"/>
            </w:tcBorders>
            <w:shd w:val="clear" w:color="auto" w:fill="DDDDDD"/>
          </w:tcPr>
          <w:p>
            <w:pPr>
              <w:spacing w:after="0"/>
              <w:rPr>
                <w:sz w:val="17"/>
                <w:szCs w:val="17"/>
                <w:color w:val="auto"/>
              </w:rPr>
            </w:pPr>
          </w:p>
        </w:tc>
      </w:tr>
      <w:tr>
        <w:trPr>
          <w:trHeight w:val="20"/>
        </w:trPr>
        <w:tc>
          <w:tcPr>
            <w:tcW w:w="9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CAPITAL STOCK</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Authorized Shares</w:t>
      </w:r>
    </w:p>
    <w:p>
      <w:pPr>
        <w:spacing w:after="0" w:line="234" w:lineRule="exact"/>
        <w:rPr>
          <w:sz w:val="20"/>
          <w:szCs w:val="20"/>
          <w:color w:val="auto"/>
        </w:rPr>
      </w:pPr>
    </w:p>
    <w:p>
      <w:pPr>
        <w:ind w:right="240" w:firstLine="360"/>
        <w:spacing w:after="0" w:line="252" w:lineRule="auto"/>
        <w:rPr>
          <w:sz w:val="20"/>
          <w:szCs w:val="20"/>
          <w:color w:val="auto"/>
        </w:rPr>
      </w:pPr>
      <w:r>
        <w:rPr>
          <w:rFonts w:ascii="Times New Roman" w:cs="Times New Roman" w:eastAsia="Times New Roman" w:hAnsi="Times New Roman"/>
          <w:sz w:val="20"/>
          <w:szCs w:val="20"/>
          <w:color w:val="auto"/>
        </w:rPr>
        <w:t>The total number of shares of capital stock which the Company has the authority to issue is 110,000,000 shares, classified as 100,000,000 shares of common stock, and 10,000,000 shares of preferred stock. The Board of Directors has the authority to classify any unissued shares by setting or changing in any one or more respects the preferences, conversion or other rights, voting powers, restrictions, limitations as to dividends, qualifications or terms or conditions of redemption of such shares.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34" w:lineRule="exact"/>
        <w:rPr>
          <w:sz w:val="20"/>
          <w:szCs w:val="20"/>
          <w:color w:val="auto"/>
        </w:rPr>
      </w:pPr>
    </w:p>
    <w:p>
      <w:pPr>
        <w:ind w:right="100" w:firstLine="360"/>
        <w:spacing w:after="0" w:line="252" w:lineRule="auto"/>
        <w:rPr>
          <w:sz w:val="20"/>
          <w:szCs w:val="20"/>
          <w:color w:val="auto"/>
        </w:rPr>
      </w:pPr>
      <w:r>
        <w:rPr>
          <w:rFonts w:ascii="Times New Roman" w:cs="Times New Roman" w:eastAsia="Times New Roman" w:hAnsi="Times New Roman"/>
          <w:sz w:val="20"/>
          <w:szCs w:val="20"/>
          <w:color w:val="auto"/>
        </w:rPr>
        <w:t>Of the 100,000,000 authorized shares of common stock, 98,000,000 shares were designated as Class A common stock, 1,000,000 shares were designated as Class B common stock and 1,000,000 shares were designated as Class C common stock. Holders of shares of common stock have no sinking fund or redemption rights and have no pre-emptive rights to subscribe for any of the Company’s securities. All common shares have a $0.001 par value.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Class A Common Stock</w:t>
      </w:r>
    </w:p>
    <w:p>
      <w:pPr>
        <w:spacing w:after="0" w:line="234"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Each outstanding share of Class A common stock entitles the holder to one vote on all matters submitted to a vote of stockholders, including the election of directors. Holders of shares of Class A common stock are not entitled to cumulate their votes in the election of directors.</w:t>
      </w:r>
    </w:p>
    <w:p>
      <w:pPr>
        <w:spacing w:after="0" w:line="179" w:lineRule="exact"/>
        <w:rPr>
          <w:sz w:val="20"/>
          <w:szCs w:val="20"/>
          <w:color w:val="auto"/>
        </w:rPr>
      </w:pPr>
    </w:p>
    <w:p>
      <w:pPr>
        <w:ind w:right="120" w:firstLine="360"/>
        <w:spacing w:after="0" w:line="258" w:lineRule="auto"/>
        <w:rPr>
          <w:sz w:val="20"/>
          <w:szCs w:val="20"/>
          <w:color w:val="auto"/>
        </w:rPr>
      </w:pPr>
      <w:r>
        <w:rPr>
          <w:rFonts w:ascii="Times New Roman" w:cs="Times New Roman" w:eastAsia="Times New Roman" w:hAnsi="Times New Roman"/>
          <w:sz w:val="20"/>
          <w:szCs w:val="20"/>
          <w:color w:val="auto"/>
        </w:rPr>
        <w:t>Subject to the preferential rights of any other class or series of stock and to the provisions of the Company's charter, as amended, regarding the restrictions on transfer of stock, holders of shares of Class A common stock are entitled to receive dividends on such stock if, as and when authorized and declared by the Board of Directors.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Class B Common Stock</w:t>
      </w:r>
    </w:p>
    <w:p>
      <w:pPr>
        <w:spacing w:after="0" w:line="235" w:lineRule="exact"/>
        <w:rPr>
          <w:sz w:val="20"/>
          <w:szCs w:val="20"/>
          <w:color w:val="auto"/>
        </w:rPr>
      </w:pPr>
    </w:p>
    <w:p>
      <w:pPr>
        <w:ind w:right="60" w:firstLine="360"/>
        <w:spacing w:after="0" w:line="246" w:lineRule="auto"/>
        <w:rPr>
          <w:sz w:val="20"/>
          <w:szCs w:val="20"/>
          <w:color w:val="auto"/>
        </w:rPr>
      </w:pPr>
      <w:r>
        <w:rPr>
          <w:rFonts w:ascii="Times New Roman" w:cs="Times New Roman" w:eastAsia="Times New Roman" w:hAnsi="Times New Roman"/>
          <w:sz w:val="20"/>
          <w:szCs w:val="20"/>
          <w:color w:val="auto"/>
        </w:rPr>
        <w:t>Each outstanding share of Class B common stock entitles the holder to one vote on all matters submitted to a vote of common stockholders, including the election of directors. Holders of shares of Class B common stock are not entitled to cumulate their votes in the election of directors. Holders of shares of Class A common stock and Class B common stock shall vote together as one class in all matters except that any matters which would adversely affect the rights and preferences of Class B common stock as a separate class shall require a separate approval by holders of a majority of the outstanding shares of Class B common stock. Holders of shares of Class B common stock are entitled to receive dividends on each share of Class B common stock in an amount equal to the dividends declared on each share of Class A common stock if, as and when authorized and declared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800"/>
          </w:cols>
          <w:pgMar w:left="720" w:top="781" w:right="720" w:bottom="135" w:gutter="0" w:footer="0" w:header="0"/>
        </w:sectPr>
      </w:pPr>
    </w:p>
    <w:bookmarkStart w:id="71" w:name="page72"/>
    <w:bookmarkEnd w:id="71"/>
    <w:p>
      <w:pPr>
        <w:ind w:firstLine="360"/>
        <w:spacing w:after="0" w:line="243" w:lineRule="auto"/>
        <w:rPr>
          <w:sz w:val="20"/>
          <w:szCs w:val="20"/>
          <w:color w:val="auto"/>
        </w:rPr>
      </w:pPr>
      <w:r>
        <w:rPr>
          <w:rFonts w:ascii="Times New Roman" w:cs="Times New Roman" w:eastAsia="Times New Roman" w:hAnsi="Times New Roman"/>
          <w:sz w:val="20"/>
          <w:szCs w:val="20"/>
          <w:color w:val="auto"/>
        </w:rPr>
        <w:t>Each share of Class B common stock shall automatically be converted into one share of Class A common stock on the first day of the fiscal quarter following the fiscal quarter during which the Company's Board of Directors were notified that, as of the end of such fiscal quarter, the stockholders' equity attributable to the Class A common stock, calculated on a pro forma basis as if conversion of the Class B common stock (or portion thereof to be converted) had occurred, and otherwise determined in accordance with GAAP, equals no less than $150.00 per share (adjusted equitably for any stock splits, stock combinations, stock dividends or the like); provided, that the number of shares of Class B common stock to be converted into Class A common stock in any quarter shall not exceed an amount that will cause the stockholders' equity attributable to the Class A common stock calculated as set forth above to be less than $150.00 per share; provided further, that such conversions shall continue to occur until all shares of Class B common stock have been converted into shares of Class A common stock; and provided further, that the total number of shares of Class A common stock issuable upon conversion of the Class B common stock shall not exceed 3% of the total shares of common stock outstanding prior to completion of an initial public offering of Bimini Capital's Class A common stock.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Class C Common Stock</w:t>
      </w:r>
    </w:p>
    <w:p>
      <w:pPr>
        <w:spacing w:after="0" w:line="234" w:lineRule="exact"/>
        <w:rPr>
          <w:sz w:val="20"/>
          <w:szCs w:val="20"/>
          <w:color w:val="auto"/>
        </w:rPr>
      </w:pPr>
    </w:p>
    <w:p>
      <w:pPr>
        <w:ind w:right="60" w:firstLine="360"/>
        <w:spacing w:after="0" w:line="252" w:lineRule="auto"/>
        <w:rPr>
          <w:sz w:val="20"/>
          <w:szCs w:val="20"/>
          <w:color w:val="auto"/>
        </w:rPr>
      </w:pPr>
      <w:r>
        <w:rPr>
          <w:rFonts w:ascii="Times New Roman" w:cs="Times New Roman" w:eastAsia="Times New Roman" w:hAnsi="Times New Roman"/>
          <w:sz w:val="20"/>
          <w:szCs w:val="20"/>
          <w:color w:val="auto"/>
        </w:rPr>
        <w:t>No dividends will be paid on the Class C common stock. Holders of shares of Class C common stock are not entitled to vote on any matter submitted to a vote of stockholders, including the election of directors, except that any matters that would adversely affect the rights and privileges of the Class C common stock as a separate class shall require the approval of a majority of the Class C common stock.</w:t>
      </w:r>
    </w:p>
    <w:p>
      <w:pPr>
        <w:spacing w:after="0" w:line="185" w:lineRule="exact"/>
        <w:rPr>
          <w:sz w:val="20"/>
          <w:szCs w:val="20"/>
          <w:color w:val="auto"/>
        </w:rPr>
      </w:pPr>
    </w:p>
    <w:p>
      <w:pPr>
        <w:ind w:firstLine="360"/>
        <w:spacing w:after="0" w:line="243" w:lineRule="auto"/>
        <w:rPr>
          <w:sz w:val="20"/>
          <w:szCs w:val="20"/>
          <w:color w:val="auto"/>
        </w:rPr>
      </w:pPr>
      <w:r>
        <w:rPr>
          <w:rFonts w:ascii="Times New Roman" w:cs="Times New Roman" w:eastAsia="Times New Roman" w:hAnsi="Times New Roman"/>
          <w:sz w:val="20"/>
          <w:szCs w:val="20"/>
          <w:color w:val="auto"/>
        </w:rPr>
        <w:t>Each share of Class C common stock shall automatically be converted into one share of Class A common stock on the first day of the fiscal quarter following the fiscal quarter during which the Company's Board of Directors were notified that, as of the end of such fiscal quarter, the stockholders' equity attributable to the Class A common stock, calculated on a pro forma basis as if conversion of the Class C common stock had occurred and giving effect to the conversion of all of the shares of Class B common stock as of such date, and otherwise determined in accordance with GAAP, equals no less than $150.00 per share (adjusted equitably for any stock splits, stock combinations, stock dividends or the like); provided, that the number of shares of Class C common stock to be converted into Class A common stock shall not exceed an amount that will cause the stockholders' equity attributable to the Class A common stock calculated as set forth above to be less than $150.00 per share; and provided further, that such conversions shall continue to occur until all shares of Class C common stock have been converted into shares of Class A common stock and provided further, that the total number of shares of Class A common stock issuable upon conversion of the Class C common stock shall not exceed 3% of the total shares of common stock outstanding prior to completion of an initial public offering of Bimini Capital's Class A common stock.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Preferred Stock</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w:t>
      </w:r>
    </w:p>
    <w:p>
      <w:pPr>
        <w:spacing w:after="0" w:line="229" w:lineRule="exact"/>
        <w:rPr>
          <w:sz w:val="20"/>
          <w:szCs w:val="20"/>
          <w:color w:val="auto"/>
        </w:rPr>
      </w:pPr>
    </w:p>
    <w:p>
      <w:pPr>
        <w:ind w:right="80" w:firstLine="360"/>
        <w:spacing w:after="0" w:line="247" w:lineRule="auto"/>
        <w:rPr>
          <w:sz w:val="20"/>
          <w:szCs w:val="20"/>
          <w:color w:val="auto"/>
        </w:rPr>
      </w:pPr>
      <w:r>
        <w:rPr>
          <w:rFonts w:ascii="Times New Roman" w:cs="Times New Roman" w:eastAsia="Times New Roman" w:hAnsi="Times New Roman"/>
          <w:sz w:val="20"/>
          <w:szCs w:val="20"/>
          <w:color w:val="auto"/>
        </w:rPr>
        <w:t>There are 10,000,000 authorized shares of preferred stock, with a $0.001 par value per share. The Company's Board of Directors has the authority to classify any unissued shares of preferred stock and to reclassify any previously classified but unissued shares of any series of preferred stock previously authorized by the Board of Directors. Prior to issuance of shares of each class or series of preferred stock, the Board of Directors is required by the Company’s charter to fix the terms, preferences, conversion or other rights, voting powers, restrictions, limitations as to dividends or other distributions, qualifications and terms or conditions of redemption for each such class or series.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Classified and Designated Shares</w:t>
      </w:r>
    </w:p>
    <w:p>
      <w:pPr>
        <w:spacing w:after="0" w:line="229" w:lineRule="exact"/>
        <w:rPr>
          <w:sz w:val="20"/>
          <w:szCs w:val="20"/>
          <w:color w:val="auto"/>
        </w:rPr>
      </w:pPr>
    </w:p>
    <w:p>
      <w:pPr>
        <w:ind w:right="80" w:firstLine="360"/>
        <w:spacing w:after="0" w:line="252" w:lineRule="auto"/>
        <w:rPr>
          <w:sz w:val="20"/>
          <w:szCs w:val="20"/>
          <w:color w:val="auto"/>
        </w:rPr>
      </w:pPr>
      <w:r>
        <w:rPr>
          <w:rFonts w:ascii="Times New Roman" w:cs="Times New Roman" w:eastAsia="Times New Roman" w:hAnsi="Times New Roman"/>
          <w:sz w:val="20"/>
          <w:szCs w:val="20"/>
          <w:color w:val="auto"/>
        </w:rPr>
        <w:t>Pursuant to the Company’s supplementary amendment of its charter, effective November 3, 2005, and by resolutions adopted on September 29, 2005, the Company’s Board of Directors classified and designated 1,800,000 shares of the authorized but unissued preferred stock, $0.001 par value, as Class A Redeemable Preferred Stock and 2,000,000 shares of the authorized but unissued preferred stock as Class B Redeemable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740"/>
          </w:cols>
          <w:pgMar w:left="720" w:top="785" w:right="780" w:bottom="135"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0"/>
          <w:szCs w:val="20"/>
          <w:i w:val="1"/>
          <w:iCs w:val="1"/>
          <w:color w:val="auto"/>
        </w:rPr>
        <w:t>Preferred Stock</w:t>
      </w:r>
    </w:p>
    <w:p>
      <w:pPr>
        <w:spacing w:after="0" w:line="229" w:lineRule="exact"/>
        <w:rPr>
          <w:sz w:val="20"/>
          <w:szCs w:val="20"/>
          <w:color w:val="auto"/>
        </w:rPr>
      </w:pPr>
    </w:p>
    <w:p>
      <w:pPr>
        <w:ind w:right="60" w:firstLine="360"/>
        <w:spacing w:after="0" w:line="245" w:lineRule="auto"/>
        <w:rPr>
          <w:sz w:val="20"/>
          <w:szCs w:val="20"/>
          <w:color w:val="auto"/>
        </w:rPr>
      </w:pPr>
      <w:r>
        <w:rPr>
          <w:rFonts w:ascii="Times New Roman" w:cs="Times New Roman" w:eastAsia="Times New Roman" w:hAnsi="Times New Roman"/>
          <w:sz w:val="20"/>
          <w:szCs w:val="20"/>
          <w:color w:val="auto"/>
        </w:rPr>
        <w:t>The Class A Redeemable Preferred Stock and Class B Redeemable Preferred Stock rank equal to each other and shall have the same preferences, rights, voting powers, restrictions, limitations as to dividends and other distributions, qualifications and terms; provided, however that the redemption provisions of the Class A Redeemable Preferred Stock and the Class B Redeemable Preferred Stock differ. Each outstanding share of Class A Redeemable Preferred Stock and Class B Redeemable Preferred Stock shall have one-fifth of a vote on all matters submitted to a vote of stockholders (or such lesser fraction of a vote as would be required to comply with the rules and regulations of the NYSE relating to the Company’s right to issue securities without obtaining a stockholder vote). Holders of shares of preferred stock shall vote together with holders of shares of common stock as one class in all matters that would be subject to a vote of stockholders.</w:t>
      </w:r>
    </w:p>
    <w:p>
      <w:pPr>
        <w:spacing w:after="0" w:line="191" w:lineRule="exact"/>
        <w:rPr>
          <w:sz w:val="20"/>
          <w:szCs w:val="20"/>
          <w:color w:val="auto"/>
        </w:rPr>
      </w:pPr>
    </w:p>
    <w:p>
      <w:pPr>
        <w:ind w:right="200" w:firstLine="360"/>
        <w:spacing w:after="0" w:line="278" w:lineRule="auto"/>
        <w:rPr>
          <w:sz w:val="20"/>
          <w:szCs w:val="20"/>
          <w:color w:val="auto"/>
        </w:rPr>
      </w:pPr>
      <w:r>
        <w:rPr>
          <w:rFonts w:ascii="Times New Roman" w:cs="Times New Roman" w:eastAsia="Times New Roman" w:hAnsi="Times New Roman"/>
          <w:sz w:val="20"/>
          <w:szCs w:val="20"/>
          <w:color w:val="auto"/>
        </w:rPr>
        <w:t>The previously outstanding shares of Class A Redeemable Preferred Stock were converted into Class A common stock on April 28, 2006. No shares of the Class B Redeemable Preferred Stock have ever been issued.</w:t>
      </w:r>
    </w:p>
    <w:p>
      <w:pPr>
        <w:spacing w:after="0" w:line="157" w:lineRule="exact"/>
        <w:rPr>
          <w:sz w:val="20"/>
          <w:szCs w:val="20"/>
          <w:color w:val="auto"/>
        </w:rPr>
      </w:pPr>
    </w:p>
    <w:p>
      <w:pPr>
        <w:ind w:right="20" w:firstLine="360"/>
        <w:spacing w:after="0" w:line="246" w:lineRule="auto"/>
        <w:rPr>
          <w:sz w:val="20"/>
          <w:szCs w:val="20"/>
          <w:color w:val="auto"/>
        </w:rPr>
      </w:pPr>
      <w:r>
        <w:rPr>
          <w:rFonts w:ascii="Times New Roman" w:cs="Times New Roman" w:eastAsia="Times New Roman" w:hAnsi="Times New Roman"/>
          <w:sz w:val="20"/>
          <w:szCs w:val="20"/>
          <w:color w:val="auto"/>
        </w:rPr>
        <w:t>In 2015 the Board approved Articles Supplementary to the Company’s charter reclassifying and designating 1,800,000 shares of authorized but unissued Class A Redeemable Preferred Stock and 2,000,000 shares of authorized but unissued Class B Redeemable Preferred Stock into undesignated preferred stock, par value $0.001 per share, of the Company (“Preferred Stock”). After giving effect to the reclassification and designation of the shares of Class A Preferred Stock and Class B Preferred Stock, the Company has authority to issue 10,000,000 shares of undesignated Preferred Stock and no shares of Class A Preferred Stock or Class B Preferred Stock. The Articles Supplementary were filed with the State Department of Assessments and Taxation of Maryland (the “SDAT”) and became effective upon filing on December 21, 2015.</w:t>
      </w:r>
    </w:p>
    <w:p>
      <w:pPr>
        <w:spacing w:after="0" w:line="191"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20"/>
          <w:szCs w:val="20"/>
          <w:color w:val="auto"/>
        </w:rPr>
        <w:t>In 2015 the Board approved Articles Supplementary to the Company’s charter creating a new series of Preferred Stock designated as Series A Junior Preferred Stock, par value $0.001 per share, of the Company (the “Series A Preferred Stock”). The Articles Supplementary were filed with the SDAT and became effective upon filing on December 21, 2015.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Rights Plan</w:t>
      </w:r>
    </w:p>
    <w:p>
      <w:pPr>
        <w:spacing w:after="0" w:line="235" w:lineRule="exact"/>
        <w:rPr>
          <w:sz w:val="20"/>
          <w:szCs w:val="20"/>
          <w:color w:val="auto"/>
        </w:rPr>
      </w:pPr>
    </w:p>
    <w:p>
      <w:pPr>
        <w:ind w:right="80" w:firstLine="360"/>
        <w:spacing w:after="0" w:line="247" w:lineRule="auto"/>
        <w:rPr>
          <w:sz w:val="20"/>
          <w:szCs w:val="20"/>
          <w:color w:val="auto"/>
        </w:rPr>
      </w:pPr>
      <w:r>
        <w:rPr>
          <w:rFonts w:ascii="Times New Roman" w:cs="Times New Roman" w:eastAsia="Times New Roman" w:hAnsi="Times New Roman"/>
          <w:sz w:val="20"/>
          <w:szCs w:val="20"/>
          <w:color w:val="auto"/>
        </w:rPr>
        <w:t>On December 21, 2015 the Board adopted a rights agreement (the “Original Rights Plan”) and declared a distribution of one preferred stock purchase right (“Right”) for each outstanding share of the Company’s Class A common stock, Class B common stock, and Class C common stock. The distribution was payable to stockholders of record as of the close of business on December 21, 2015. On December 10, 2025, the Company adopted a First Amendment (the “First Amendment”) to the Original Rights Plan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Original Rights Plan, as amended by the First Amendment, the “Rights Plan”). The First Amendment extends the expiration date of</w:t>
      </w:r>
    </w:p>
    <w:p>
      <w:pPr>
        <w:spacing w:after="0"/>
        <w:rPr>
          <w:sz w:val="20"/>
          <w:szCs w:val="20"/>
          <w:color w:val="auto"/>
        </w:rPr>
      </w:pPr>
      <w:r>
        <w:rPr>
          <w:rFonts w:ascii="Times New Roman" w:cs="Times New Roman" w:eastAsia="Times New Roman" w:hAnsi="Times New Roman"/>
          <w:sz w:val="20"/>
          <w:szCs w:val="20"/>
          <w:color w:val="auto"/>
        </w:rPr>
        <w:t>the Rights until December 21, 2030. The First Amendment also increases the Purchase Price (as defined in the Rights Plan) from</w:t>
      </w:r>
    </w:p>
    <w:p>
      <w:pPr>
        <w:spacing w:after="0"/>
        <w:rPr>
          <w:sz w:val="20"/>
          <w:szCs w:val="20"/>
          <w:color w:val="auto"/>
        </w:rPr>
      </w:pPr>
      <w:r>
        <w:rPr>
          <w:rFonts w:ascii="Times New Roman" w:cs="Times New Roman" w:eastAsia="Times New Roman" w:hAnsi="Times New Roman"/>
          <w:sz w:val="20"/>
          <w:szCs w:val="20"/>
          <w:color w:val="auto"/>
        </w:rPr>
        <w:t>$4.76 to $10.20. No stockholder approval is required for adoption of the First Amendment; however, the Company plans to submit the</w:t>
      </w:r>
    </w:p>
    <w:p>
      <w:pPr>
        <w:spacing w:after="0"/>
        <w:rPr>
          <w:sz w:val="20"/>
          <w:szCs w:val="20"/>
          <w:color w:val="auto"/>
        </w:rPr>
      </w:pPr>
      <w:r>
        <w:rPr>
          <w:rFonts w:ascii="Times New Roman" w:cs="Times New Roman" w:eastAsia="Times New Roman" w:hAnsi="Times New Roman"/>
          <w:sz w:val="20"/>
          <w:szCs w:val="20"/>
          <w:color w:val="auto"/>
        </w:rPr>
        <w:t>First Amendment to its stockholders for approval at the 2026 annual meeting of stockholders.</w:t>
      </w:r>
    </w:p>
    <w:p>
      <w:pPr>
        <w:spacing w:after="0" w:line="202" w:lineRule="exact"/>
        <w:rPr>
          <w:sz w:val="20"/>
          <w:szCs w:val="20"/>
          <w:color w:val="auto"/>
        </w:rPr>
      </w:pPr>
    </w:p>
    <w:p>
      <w:pPr>
        <w:ind w:right="20" w:firstLine="360"/>
        <w:spacing w:after="0" w:line="247" w:lineRule="auto"/>
        <w:rPr>
          <w:sz w:val="20"/>
          <w:szCs w:val="20"/>
          <w:color w:val="auto"/>
        </w:rPr>
      </w:pPr>
      <w:r>
        <w:rPr>
          <w:rFonts w:ascii="Times New Roman" w:cs="Times New Roman" w:eastAsia="Times New Roman" w:hAnsi="Times New Roman"/>
          <w:sz w:val="20"/>
          <w:szCs w:val="20"/>
          <w:i w:val="1"/>
          <w:iCs w:val="1"/>
          <w:color w:val="auto"/>
        </w:rPr>
        <w:t>The Rights</w:t>
      </w:r>
      <w:r>
        <w:rPr>
          <w:rFonts w:ascii="Times New Roman" w:cs="Times New Roman" w:eastAsia="Times New Roman" w:hAnsi="Times New Roman"/>
          <w:sz w:val="20"/>
          <w:szCs w:val="20"/>
          <w:color w:val="auto"/>
        </w:rPr>
        <w:t>. Subject to the terms, provisions and conditions of the Rights Plan, if the Rights become exercisable, each Right would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initially represent the right to purchase from the Company one ten-thousandth of a share of Series A Preferred Stock for a purchase price of $10.20, subject to adjustment in accordance with the terms of the Rights Plan (the “Purchase Price”). If issued, each fractional share of Series A Preferred Stock would give the stockholder approximately the same distribution, voting and liquidation rights as does one share of the Company’s Class A common stock. However, prior to exercise, a Right does not give its holder any rights as a stockholder of the Company, including without limitation any distribution, voting or liquidation rights.</w:t>
      </w:r>
    </w:p>
    <w:p>
      <w:pPr>
        <w:spacing w:after="0" w:line="191"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Exercisability. </w:t>
      </w:r>
      <w:r>
        <w:rPr>
          <w:rFonts w:ascii="Times New Roman" w:cs="Times New Roman" w:eastAsia="Times New Roman" w:hAnsi="Times New Roman"/>
          <w:sz w:val="20"/>
          <w:szCs w:val="20"/>
          <w:color w:val="auto"/>
        </w:rPr>
        <w:t>The Rights will generally not be exercisable until the earlier of (i) 10 business days after a public announcement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Company that a person or group has acquired 4.9% or more of the outstanding Class A common stock without the approval of the Board of Directors (an “Acquiring Person”) and (ii) 10 business days after the commencement of a tender or exchange offer by a person or group for 4.9% or more of the Class A common stock.</w:t>
      </w:r>
    </w:p>
    <w:p>
      <w:pPr>
        <w:spacing w:after="0" w:line="184" w:lineRule="exact"/>
        <w:rPr>
          <w:sz w:val="20"/>
          <w:szCs w:val="20"/>
          <w:color w:val="auto"/>
        </w:rPr>
      </w:pPr>
    </w:p>
    <w:p>
      <w:pPr>
        <w:ind w:right="60" w:firstLine="360"/>
        <w:spacing w:after="0" w:line="247" w:lineRule="auto"/>
        <w:rPr>
          <w:sz w:val="20"/>
          <w:szCs w:val="20"/>
          <w:color w:val="auto"/>
        </w:rPr>
      </w:pPr>
      <w:r>
        <w:rPr>
          <w:rFonts w:ascii="Times New Roman" w:cs="Times New Roman" w:eastAsia="Times New Roman" w:hAnsi="Times New Roman"/>
          <w:sz w:val="20"/>
          <w:szCs w:val="20"/>
          <w:color w:val="auto"/>
        </w:rPr>
        <w:t>The date that the Rights may first become exercisable is referred to as the “Distribution Date.” Until the Distribution Date, the Class A common stock, Class B common stock and Class C common stock certificates will represent the Rights and will contain a notation to that effect. Any transfer of shares of Class A common stock, Class B common stock and/or Class C common stock prior to the Distribution Date will constitute a transfer of the associated Rights. After the Distribution Date, the Rights may be transferred other than in connection with the transfer of the underlying shares of Class A common stock, Class B common stock or 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800"/>
          </w:cols>
          <w:pgMar w:left="720" w:top="787" w:right="720" w:bottom="135" w:gutter="0" w:footer="0" w:header="0"/>
        </w:sectPr>
      </w:pPr>
    </w:p>
    <w:bookmarkStart w:id="73" w:name="page74"/>
    <w:bookmarkEnd w:id="73"/>
    <w:p>
      <w:pPr>
        <w:ind w:right="40" w:firstLine="360"/>
        <w:spacing w:after="0" w:line="249" w:lineRule="auto"/>
        <w:rPr>
          <w:sz w:val="20"/>
          <w:szCs w:val="20"/>
          <w:color w:val="auto"/>
        </w:rPr>
      </w:pPr>
      <w:r>
        <w:rPr>
          <w:rFonts w:ascii="Times New Roman" w:cs="Times New Roman" w:eastAsia="Times New Roman" w:hAnsi="Times New Roman"/>
          <w:sz w:val="20"/>
          <w:szCs w:val="20"/>
          <w:color w:val="auto"/>
        </w:rPr>
        <w:t>After the Distribution Date and following a determination by the Board that a person is an Acquiring Person, each holder of a Right, other than Rights beneficially owned by the Acquiring Person (which will thereupon become void), will thereafter have the right to receive upon exercise of a Right and payment of the Purchase Price, that number of shares of Class A common stock, Class B common stock or Class C common stock, as the case may be, having a market value of two times the Purchase Price (or, at our option, shares of Series A Preferred Stock or other consideration as provided in the Rights Plan).</w:t>
      </w:r>
    </w:p>
    <w:p>
      <w:pPr>
        <w:spacing w:after="0" w:line="187" w:lineRule="exact"/>
        <w:rPr>
          <w:sz w:val="20"/>
          <w:szCs w:val="20"/>
          <w:color w:val="auto"/>
        </w:rPr>
      </w:pPr>
    </w:p>
    <w:p>
      <w:pPr>
        <w:jc w:val="both"/>
        <w:ind w:right="40" w:firstLine="360"/>
        <w:spacing w:after="0" w:line="249" w:lineRule="auto"/>
        <w:rPr>
          <w:sz w:val="20"/>
          <w:szCs w:val="20"/>
          <w:color w:val="auto"/>
        </w:rPr>
      </w:pPr>
      <w:r>
        <w:rPr>
          <w:rFonts w:ascii="Times New Roman" w:cs="Times New Roman" w:eastAsia="Times New Roman" w:hAnsi="Times New Roman"/>
          <w:sz w:val="20"/>
          <w:szCs w:val="20"/>
          <w:i w:val="1"/>
          <w:iCs w:val="1"/>
          <w:color w:val="auto"/>
        </w:rPr>
        <w:t>Exchange</w:t>
      </w:r>
      <w:r>
        <w:rPr>
          <w:rFonts w:ascii="Times New Roman" w:cs="Times New Roman" w:eastAsia="Times New Roman" w:hAnsi="Times New Roman"/>
          <w:sz w:val="20"/>
          <w:szCs w:val="20"/>
          <w:color w:val="auto"/>
        </w:rPr>
        <w:t>. After the Distribution Date and following a determination by the Board that a person or group is an Acquiring Person,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Board may exchange the Rights (other than Rights owned by such an Acquiring Person which will have become void), in whole or in part, at an exchange ratio of one share of Class A common stock, Class B common stock or Class C common stock, as the case may be, or a fractional share of Series A Preferred Stock (or of a share of a similar class or series of the Company’s preferred stock having similar Rights, preferences and privileges) of equivalent value, per Right (subject to adjustment).</w:t>
      </w:r>
    </w:p>
    <w:p>
      <w:pPr>
        <w:spacing w:after="0" w:line="187" w:lineRule="exact"/>
        <w:rPr>
          <w:sz w:val="20"/>
          <w:szCs w:val="20"/>
          <w:color w:val="auto"/>
        </w:rPr>
      </w:pPr>
    </w:p>
    <w:p>
      <w:pPr>
        <w:ind w:right="160" w:firstLine="360"/>
        <w:spacing w:after="0" w:line="247" w:lineRule="auto"/>
        <w:rPr>
          <w:sz w:val="20"/>
          <w:szCs w:val="20"/>
          <w:color w:val="auto"/>
        </w:rPr>
      </w:pPr>
      <w:r>
        <w:rPr>
          <w:rFonts w:ascii="Times New Roman" w:cs="Times New Roman" w:eastAsia="Times New Roman" w:hAnsi="Times New Roman"/>
          <w:sz w:val="20"/>
          <w:szCs w:val="20"/>
          <w:i w:val="1"/>
          <w:iCs w:val="1"/>
          <w:color w:val="auto"/>
        </w:rPr>
        <w:t>Expiration</w:t>
      </w:r>
      <w:r>
        <w:rPr>
          <w:rFonts w:ascii="Times New Roman" w:cs="Times New Roman" w:eastAsia="Times New Roman" w:hAnsi="Times New Roman"/>
          <w:sz w:val="20"/>
          <w:szCs w:val="20"/>
          <w:color w:val="auto"/>
        </w:rPr>
        <w:t>. The Rights and the Rights Plan will expire on the earliest of (i) December 21, 2030, (ii) the time at which the Rights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are redeemed pursuant to the Rights Plan, (iii) the time at which the Rights are exchanged pursuant to the Rights Plan, (iv) the repeal of Section 382 of the Code or any successor statute if the Board determines that the Rights Plan is no longer necessary for the preservation of the applicable tax benefits, (v) the beginning of a taxable year of the Company to which the Board determines that no applicable tax benefits may be carried forward and (vi) the close of business on June 30, 2026 if approval of the Rights Plan by the Company’s stockholders has not been obtained.</w:t>
      </w:r>
    </w:p>
    <w:p>
      <w:pPr>
        <w:spacing w:after="0" w:line="191" w:lineRule="exact"/>
        <w:rPr>
          <w:sz w:val="20"/>
          <w:szCs w:val="20"/>
          <w:color w:val="auto"/>
        </w:rPr>
      </w:pPr>
    </w:p>
    <w:p>
      <w:pPr>
        <w:jc w:val="both"/>
        <w:ind w:right="40" w:firstLine="36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Redemption. </w:t>
      </w:r>
      <w:r>
        <w:rPr>
          <w:rFonts w:ascii="Times New Roman" w:cs="Times New Roman" w:eastAsia="Times New Roman" w:hAnsi="Times New Roman"/>
          <w:sz w:val="20"/>
          <w:szCs w:val="20"/>
          <w:color w:val="auto"/>
        </w:rPr>
        <w:t>At any time prior to the time an Acquiring Person becomes such, the Board may redeem the Rights in whole, but not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part, at a price of $0.001 per Right (the “Redemption Price”). The redemption of the Rights may be made effective at such time, on such basis and with such conditions as the Board in its sole discretion may establish. Immediately upon any redemption of the Rights, the right to exercise the Rights will terminate and the only right of the holders of Rights will be to receive the Redemption Price.</w:t>
      </w:r>
    </w:p>
    <w:p>
      <w:pPr>
        <w:spacing w:after="0" w:line="184" w:lineRule="exact"/>
        <w:rPr>
          <w:sz w:val="20"/>
          <w:szCs w:val="20"/>
          <w:color w:val="auto"/>
        </w:rPr>
      </w:pPr>
    </w:p>
    <w:p>
      <w:pPr>
        <w:ind w:right="100" w:firstLine="36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Anti-Dilution Provisions. </w:t>
      </w:r>
      <w:r>
        <w:rPr>
          <w:rFonts w:ascii="Times New Roman" w:cs="Times New Roman" w:eastAsia="Times New Roman" w:hAnsi="Times New Roman"/>
          <w:sz w:val="20"/>
          <w:szCs w:val="20"/>
          <w:color w:val="auto"/>
        </w:rPr>
        <w:t>The Board may adjust the Purchase Price, the number of shares of Series A Preferred Stock or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securities issuable and the number of outstanding Rights to prevent dilution that may occur as a result of certain events, including among others, a stock dividend, a forward or reverse stock split or a reclassification of the preferred shares or Class A common stock, Class B common stock or Class C common stock. No adjustments to the Purchase Price of less than 1% will be made.</w:t>
      </w:r>
    </w:p>
    <w:p>
      <w:pPr>
        <w:spacing w:after="0" w:line="184" w:lineRule="exact"/>
        <w:rPr>
          <w:sz w:val="20"/>
          <w:szCs w:val="20"/>
          <w:color w:val="auto"/>
        </w:rPr>
      </w:pPr>
    </w:p>
    <w:p>
      <w:pPr>
        <w:ind w:right="20" w:firstLine="36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Anti-Takeover Effects. </w:t>
      </w:r>
      <w:r>
        <w:rPr>
          <w:rFonts w:ascii="Times New Roman" w:cs="Times New Roman" w:eastAsia="Times New Roman" w:hAnsi="Times New Roman"/>
          <w:sz w:val="20"/>
          <w:szCs w:val="20"/>
          <w:color w:val="auto"/>
        </w:rPr>
        <w:t>While this was not the purpose of the Board when adopting the Rights Plan, the Rights will have certain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anti-takeover effects. The Rights will cause substantial dilution to any person or group that attempts to acquire the Company without the approval of the Board. As a result, the overall effect of the Rights may be to render more difficult or discourage any attempt to acquire the Company even if such acquisition may be favorable to the interests of the Company’s stockholders. Because the Board can redeem the Rights, the Rights should not interfere with a merger or other business combination approved by the Board.</w:t>
      </w:r>
    </w:p>
    <w:p>
      <w:pPr>
        <w:spacing w:after="0" w:line="187" w:lineRule="exact"/>
        <w:rPr>
          <w:sz w:val="20"/>
          <w:szCs w:val="20"/>
          <w:color w:val="auto"/>
        </w:rPr>
      </w:pPr>
    </w:p>
    <w:p>
      <w:pPr>
        <w:ind w:right="180" w:firstLine="36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Amendments. </w:t>
      </w:r>
      <w:r>
        <w:rPr>
          <w:rFonts w:ascii="Times New Roman" w:cs="Times New Roman" w:eastAsia="Times New Roman" w:hAnsi="Times New Roman"/>
          <w:sz w:val="20"/>
          <w:szCs w:val="20"/>
          <w:color w:val="auto"/>
        </w:rPr>
        <w:t>Before the Distribution Date, the Board may amend or supplement the Rights Plan without the consent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holders of the Rights. After the Distribution Date, the Board may amend or supplement the Rights Plan only to cure an ambiguity, to alter time period provisions, to correct inconsistent provisions, or to make any additional changes to the Rights Plan, but only to the extent that those changes do not impair or adversely affect, in any material respect, any Rights holder and do not result in the Rights again becoming redeemable, and no such amendment may cause the Rights again to become redeemable or cause this Rights Plan again to become amendable other than in accordance with the applicable timing of the Rights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Repurchase Plan</w:t>
      </w:r>
    </w:p>
    <w:p>
      <w:pPr>
        <w:spacing w:after="0" w:line="23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On March 12, 2026, the Board authorized a share repurchase plan pursuant to Rule 10b5-1 of the Securities Exchange Act of</w:t>
      </w:r>
    </w:p>
    <w:p>
      <w:pPr>
        <w:spacing w:after="0" w:line="2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1934 (the “2026 Repurchase Plan”). Pursuant to the 2026 Repurchase Plan, the Company can purchase shares of its Class A Common Stock from time to time for an aggregate purchase price not to exceed $2.5 million. Share repurchases can be executed through various means, including, without limitation, open market transactions. The 2026 Repurchase Plan does not obligate the Company to purchase any shares. The 2026 Repurchase Plan replaces the Company’s prior repurchase plan adopted in 2024 (the “2024 Repurchase Plan”), which expired on March 9, 2026. The Company did not repurchase any shares under the 2024 Repurchase Plan.</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COMMITMENTS AND CONTINGENCIES</w:t>
      </w:r>
    </w:p>
    <w:p>
      <w:pPr>
        <w:spacing w:after="0" w:line="235" w:lineRule="exact"/>
        <w:rPr>
          <w:sz w:val="20"/>
          <w:szCs w:val="20"/>
          <w:color w:val="auto"/>
        </w:rPr>
      </w:pPr>
    </w:p>
    <w:p>
      <w:pPr>
        <w:ind w:right="580" w:firstLine="360"/>
        <w:spacing w:after="0" w:line="277" w:lineRule="auto"/>
        <w:rPr>
          <w:sz w:val="20"/>
          <w:szCs w:val="20"/>
          <w:color w:val="auto"/>
        </w:rPr>
      </w:pPr>
      <w:r>
        <w:rPr>
          <w:rFonts w:ascii="Times New Roman" w:cs="Times New Roman" w:eastAsia="Times New Roman" w:hAnsi="Times New Roman"/>
          <w:sz w:val="20"/>
          <w:szCs w:val="20"/>
          <w:color w:val="auto"/>
        </w:rPr>
        <w:t>From time to time, the Company may become involved in various claims and legal actions arising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800"/>
          </w:cols>
          <w:pgMar w:left="720" w:top="785" w:right="720" w:bottom="135" w:gutter="0" w:footer="0" w:header="0"/>
        </w:sectPr>
      </w:pPr>
    </w:p>
    <w:bookmarkStart w:id="74" w:name="page75"/>
    <w:bookmarkEnd w:id="74"/>
    <w:p>
      <w:pPr>
        <w:ind w:right="200" w:firstLine="360"/>
        <w:spacing w:after="0" w:line="249" w:lineRule="auto"/>
        <w:rPr>
          <w:sz w:val="20"/>
          <w:szCs w:val="20"/>
          <w:color w:val="auto"/>
        </w:rPr>
      </w:pPr>
      <w:r>
        <w:rPr>
          <w:rFonts w:ascii="Times New Roman" w:cs="Times New Roman" w:eastAsia="Times New Roman" w:hAnsi="Times New Roman"/>
          <w:sz w:val="20"/>
          <w:szCs w:val="20"/>
          <w:color w:val="auto"/>
        </w:rPr>
        <w:t>As previously disclosed, in April 2020 and November 2021, the Company received demands for payment from Citigroup, Inc. related to the indemnification provisions of various mortgage loan purchase agreements entered into prior to 2007. As of December 31, 2024, no further information has been received related to this matter. The ultimate resolution of this matter cannot presently be determined. However, in management's opinion, the demands are without merit and the likelihood of a material adverse outcome is remote. Accordingly, no provision or accrual has been recorded.</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Management is not aware of any other significant reported or unreported contingencies as of December 31, 2025.</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INCOME TAXES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(Loss) Before Income Taxes</w:t>
      </w: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components of income/(loss) before taxes for the years ended December 31, 2025 and 2024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vMerge w:val="continue"/>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560" w:type="dxa"/>
            <w:vAlign w:val="bottom"/>
            <w:tcBorders>
              <w:top w:val="single" w:sz="8" w:color="DDDDDD"/>
            </w:tcBorders>
            <w:shd w:val="clear" w:color="auto" w:fill="DDDDDD"/>
          </w:tcPr>
          <w:p>
            <w:pPr>
              <w:spacing w:after="0" w:line="187" w:lineRule="exact"/>
              <w:rPr>
                <w:sz w:val="20"/>
                <w:szCs w:val="20"/>
                <w:color w:val="auto"/>
              </w:rPr>
            </w:pPr>
            <w:r>
              <w:rPr>
                <w:rFonts w:ascii="Times New Roman" w:cs="Times New Roman" w:eastAsia="Times New Roman" w:hAnsi="Times New Roman"/>
                <w:sz w:val="18"/>
                <w:szCs w:val="18"/>
                <w:color w:val="auto"/>
              </w:rPr>
              <w:t>Domestic</w:t>
            </w:r>
          </w:p>
        </w:tc>
        <w:tc>
          <w:tcPr>
            <w:tcW w:w="1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840" w:type="dxa"/>
            <w:vAlign w:val="bottom"/>
            <w:tcBorders>
              <w:top w:val="single" w:sz="8" w:color="DDDDDD"/>
            </w:tcBorders>
            <w:shd w:val="clear" w:color="auto" w:fill="DDDDDD"/>
          </w:tcPr>
          <w:p>
            <w:pPr>
              <w:spacing w:after="0"/>
              <w:rPr>
                <w:sz w:val="16"/>
                <w:szCs w:val="16"/>
                <w:color w:val="auto"/>
              </w:rPr>
            </w:pPr>
          </w:p>
        </w:tc>
        <w:tc>
          <w:tcPr>
            <w:tcW w:w="46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4,493</w:t>
            </w:r>
          </w:p>
        </w:tc>
        <w:tc>
          <w:tcPr>
            <w:tcW w:w="2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top w:val="single" w:sz="8" w:color="DDDDDD"/>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1,810</w:t>
            </w:r>
          </w:p>
        </w:tc>
        <w:tc>
          <w:tcPr>
            <w:tcW w:w="100" w:type="dxa"/>
            <w:vAlign w:val="bottom"/>
            <w:tcBorders>
              <w:top w:val="single" w:sz="8" w:color="DDDDDD"/>
            </w:tcBorders>
            <w:shd w:val="clear" w:color="auto" w:fill="DDDDDD"/>
          </w:tcPr>
          <w:p>
            <w:pPr>
              <w:spacing w:after="0"/>
              <w:rPr>
                <w:sz w:val="16"/>
                <w:szCs w:val="16"/>
                <w:color w:val="auto"/>
              </w:rPr>
            </w:pPr>
          </w:p>
        </w:tc>
        <w:tc>
          <w:tcPr>
            <w:tcW w:w="20" w:type="dxa"/>
            <w:vAlign w:val="bottom"/>
            <w:tcBorders>
              <w:top w:val="single" w:sz="8" w:color="auto"/>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Foreign</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56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rPr>
              <w:t>Net income before income tax (benefit) provision</w:t>
            </w:r>
          </w:p>
        </w:tc>
        <w:tc>
          <w:tcPr>
            <w:tcW w:w="12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840" w:type="dxa"/>
            <w:vAlign w:val="bottom"/>
            <w:tcBorders>
              <w:top w:val="single" w:sz="8" w:color="DDDDDD"/>
              <w:bottom w:val="single" w:sz="8" w:color="DDDDDD"/>
            </w:tcBorders>
            <w:shd w:val="clear" w:color="auto" w:fill="DDDDDD"/>
          </w:tcPr>
          <w:p>
            <w:pPr>
              <w:spacing w:after="0"/>
              <w:rPr>
                <w:sz w:val="17"/>
                <w:szCs w:val="17"/>
                <w:color w:val="auto"/>
              </w:rPr>
            </w:pPr>
          </w:p>
        </w:tc>
        <w:tc>
          <w:tcPr>
            <w:tcW w:w="46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4,493</w:t>
            </w:r>
          </w:p>
        </w:tc>
        <w:tc>
          <w:tcPr>
            <w:tcW w:w="22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1,810</w:t>
            </w: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20" w:type="dxa"/>
            <w:vAlign w:val="bottom"/>
            <w:tcBorders>
              <w:top w:val="single" w:sz="8" w:color="auto"/>
              <w:bottom w:val="single" w:sz="8" w:color="DDDDDD"/>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Income Tax Provision of Benefit</w:t>
      </w:r>
    </w:p>
    <w:p>
      <w:pPr>
        <w:spacing w:after="0" w:line="2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components of the Company's income tax (benefit) provision are listed below:</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5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r>
      <w:tr>
        <w:trPr>
          <w:trHeight w:val="187"/>
        </w:trPr>
        <w:tc>
          <w:tcPr>
            <w:tcW w:w="7560" w:type="dxa"/>
            <w:vAlign w:val="bottom"/>
            <w:tcBorders>
              <w:top w:val="single" w:sz="8" w:color="DDDDDD"/>
            </w:tcBorders>
            <w:shd w:val="clear" w:color="auto" w:fill="DDDDDD"/>
          </w:tcPr>
          <w:p>
            <w:pPr>
              <w:spacing w:after="0" w:line="187" w:lineRule="exact"/>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800" w:type="dxa"/>
            <w:vAlign w:val="bottom"/>
            <w:tcBorders>
              <w:top w:val="single" w:sz="8" w:color="DDDDDD"/>
            </w:tcBorders>
            <w:shd w:val="clear" w:color="auto" w:fill="DDDDDD"/>
          </w:tcPr>
          <w:p>
            <w:pPr>
              <w:spacing w:after="0"/>
              <w:rPr>
                <w:sz w:val="16"/>
                <w:szCs w:val="16"/>
                <w:color w:val="auto"/>
              </w:rPr>
            </w:pPr>
          </w:p>
        </w:tc>
        <w:tc>
          <w:tcPr>
            <w:tcW w:w="50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1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130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20" w:type="dxa"/>
            <w:vAlign w:val="bottom"/>
            <w:tcBorders>
              <w:top w:val="single" w:sz="8" w:color="auto"/>
            </w:tcBorders>
            <w:shd w:val="clear" w:color="auto" w:fill="DDDDDD"/>
          </w:tcPr>
          <w:p>
            <w:pPr>
              <w:spacing w:after="0"/>
              <w:rPr>
                <w:sz w:val="16"/>
                <w:szCs w:val="16"/>
                <w:color w:val="auto"/>
              </w:rPr>
            </w:pPr>
          </w:p>
        </w:tc>
      </w:tr>
      <w:tr>
        <w:trPr>
          <w:trHeight w:val="217"/>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56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800" w:type="dxa"/>
            <w:vAlign w:val="bottom"/>
            <w:shd w:val="clear" w:color="auto" w:fill="DDDDDD"/>
          </w:tcPr>
          <w:p>
            <w:pPr>
              <w:spacing w:after="0"/>
              <w:rPr>
                <w:sz w:val="18"/>
                <w:szCs w:val="18"/>
                <w:color w:val="auto"/>
              </w:rPr>
            </w:pPr>
          </w:p>
        </w:tc>
        <w:tc>
          <w:tcPr>
            <w:tcW w:w="5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17"/>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800" w:type="dxa"/>
            <w:vAlign w:val="bottom"/>
            <w:shd w:val="clear" w:color="auto" w:fill="DDDDDD"/>
          </w:tcPr>
          <w:p>
            <w:pPr>
              <w:spacing w:after="0"/>
              <w:rPr>
                <w:sz w:val="18"/>
                <w:szCs w:val="18"/>
                <w:color w:val="auto"/>
              </w:rPr>
            </w:pPr>
          </w:p>
        </w:tc>
        <w:tc>
          <w:tcPr>
            <w:tcW w:w="5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17"/>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(1,712 )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756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800" w:type="dxa"/>
            <w:vAlign w:val="bottom"/>
            <w:shd w:val="clear" w:color="auto" w:fill="DDDDDD"/>
          </w:tcPr>
          <w:p>
            <w:pPr>
              <w:spacing w:after="0"/>
              <w:rPr>
                <w:sz w:val="18"/>
                <w:szCs w:val="18"/>
                <w:color w:val="auto"/>
              </w:rPr>
            </w:pPr>
          </w:p>
        </w:tc>
        <w:tc>
          <w:tcPr>
            <w:tcW w:w="5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45"/>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(1,309 )</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10"/>
        </w:trPr>
        <w:tc>
          <w:tcPr>
            <w:tcW w:w="756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rPr>
              <w:t>Income tax (benefit) provision</w:t>
            </w:r>
          </w:p>
        </w:tc>
        <w:tc>
          <w:tcPr>
            <w:tcW w:w="12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800" w:type="dxa"/>
            <w:vAlign w:val="bottom"/>
            <w:tcBorders>
              <w:top w:val="single" w:sz="8" w:color="DDDDDD"/>
              <w:bottom w:val="single" w:sz="8" w:color="DDDDDD"/>
            </w:tcBorders>
            <w:shd w:val="clear" w:color="auto" w:fill="DDDDDD"/>
          </w:tcPr>
          <w:p>
            <w:pPr>
              <w:spacing w:after="0"/>
              <w:rPr>
                <w:sz w:val="17"/>
                <w:szCs w:val="17"/>
                <w:color w:val="auto"/>
              </w:rPr>
            </w:pPr>
          </w:p>
        </w:tc>
        <w:tc>
          <w:tcPr>
            <w:tcW w:w="5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(1,309</w:t>
            </w: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3,117</w:t>
            </w: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20" w:type="dxa"/>
            <w:vAlign w:val="bottom"/>
            <w:tcBorders>
              <w:top w:val="single" w:sz="8" w:color="auto"/>
              <w:bottom w:val="single" w:sz="8" w:color="DDDDDD"/>
            </w:tcBorders>
            <w:shd w:val="clear" w:color="auto" w:fill="DDDDDD"/>
          </w:tcPr>
          <w:p>
            <w:pPr>
              <w:spacing w:after="0"/>
              <w:rPr>
                <w:sz w:val="17"/>
                <w:szCs w:val="17"/>
                <w:color w:val="auto"/>
              </w:rPr>
            </w:pPr>
          </w:p>
        </w:tc>
      </w:tr>
      <w:tr>
        <w:trPr>
          <w:trHeight w:val="20"/>
        </w:trPr>
        <w:tc>
          <w:tcPr>
            <w:tcW w:w="7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Rate Reconciliation</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The effective income tax rate varies from the U.S. federal statutory rate principally due to the following:</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23495</wp:posOffset>
                </wp:positionV>
                <wp:extent cx="6858000"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85pt" to="540.2pt,1.85pt" o:allowincell="f" strokecolor="#FFFFFF" strokeweight="0.1399pt"/>
            </w:pict>
          </mc:Fallback>
        </mc:AlternateConten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9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bottom w:val="single" w:sz="8" w:color="auto"/>
            </w:tcBorders>
          </w:tcPr>
          <w:p>
            <w:pPr>
              <w:spacing w:after="0"/>
              <w:rPr>
                <w:sz w:val="18"/>
                <w:szCs w:val="18"/>
                <w:color w:val="auto"/>
              </w:rPr>
            </w:pPr>
          </w:p>
        </w:tc>
        <w:tc>
          <w:tcPr>
            <w:tcW w:w="950" w:type="dxa"/>
            <w:vAlign w:val="bottom"/>
            <w:tcBorders>
              <w:top w:val="single" w:sz="8" w:color="auto"/>
              <w:bottom w:val="single" w:sz="8" w:color="auto"/>
            </w:tcBorders>
          </w:tcPr>
          <w:p>
            <w:pPr>
              <w:spacing w:after="0"/>
              <w:rPr>
                <w:sz w:val="18"/>
                <w:szCs w:val="18"/>
                <w:color w:val="auto"/>
              </w:rPr>
            </w:pPr>
          </w:p>
        </w:tc>
        <w:tc>
          <w:tcPr>
            <w:tcW w:w="210" w:type="dxa"/>
            <w:vAlign w:val="bottom"/>
            <w:tcBorders>
              <w:top w:val="single" w:sz="8" w:color="auto"/>
              <w:bottom w:val="single" w:sz="8" w:color="auto"/>
            </w:tcBorders>
          </w:tcPr>
          <w:p>
            <w:pPr>
              <w:spacing w:after="0"/>
              <w:rPr>
                <w:sz w:val="18"/>
                <w:szCs w:val="18"/>
                <w:color w:val="auto"/>
              </w:rPr>
            </w:pPr>
          </w:p>
        </w:tc>
      </w:tr>
      <w:tr>
        <w:trPr>
          <w:trHeight w:val="235"/>
        </w:trPr>
        <w:tc>
          <w:tcPr>
            <w:tcW w:w="5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8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182"/>
        </w:trPr>
        <w:tc>
          <w:tcPr>
            <w:tcW w:w="560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rPr>
              <w:t>Federal tax provision based on statutory rate applicable for each year</w:t>
            </w: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20" w:type="dxa"/>
            <w:vAlign w:val="bottom"/>
            <w:tcBorders>
              <w:top w:val="single" w:sz="8" w:color="DDDDDD"/>
              <w:bottom w:val="single" w:sz="8" w:color="DDDDDD"/>
            </w:tcBorders>
            <w:shd w:val="clear" w:color="auto" w:fill="DDDDDD"/>
          </w:tcPr>
          <w:p>
            <w:pPr>
              <w:spacing w:after="0"/>
              <w:rPr>
                <w:sz w:val="15"/>
                <w:szCs w:val="15"/>
                <w:color w:val="auto"/>
              </w:rPr>
            </w:pPr>
          </w:p>
        </w:tc>
        <w:tc>
          <w:tcPr>
            <w:tcW w:w="93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943</w:t>
            </w:r>
          </w:p>
        </w:tc>
        <w:tc>
          <w:tcPr>
            <w:tcW w:w="90" w:type="dxa"/>
            <w:vAlign w:val="bottom"/>
            <w:tcBorders>
              <w:top w:val="single" w:sz="8" w:color="DDDDDD"/>
              <w:bottom w:val="single" w:sz="8" w:color="DDDDDD"/>
            </w:tcBorders>
            <w:shd w:val="clear" w:color="auto" w:fill="DDDDDD"/>
          </w:tcPr>
          <w:p>
            <w:pPr>
              <w:spacing w:after="0"/>
              <w:rPr>
                <w:sz w:val="15"/>
                <w:szCs w:val="15"/>
                <w:color w:val="auto"/>
              </w:rPr>
            </w:pPr>
          </w:p>
        </w:tc>
        <w:tc>
          <w:tcPr>
            <w:tcW w:w="180" w:type="dxa"/>
            <w:vAlign w:val="bottom"/>
            <w:tcBorders>
              <w:top w:val="single" w:sz="8" w:color="DDDDDD"/>
              <w:bottom w:val="single" w:sz="8" w:color="DDDDDD"/>
            </w:tcBorders>
            <w:shd w:val="clear" w:color="auto" w:fill="DDDDDD"/>
          </w:tcPr>
          <w:p>
            <w:pPr>
              <w:spacing w:after="0"/>
              <w:rPr>
                <w:sz w:val="15"/>
                <w:szCs w:val="15"/>
                <w:color w:val="auto"/>
              </w:rPr>
            </w:pPr>
          </w:p>
        </w:tc>
        <w:tc>
          <w:tcPr>
            <w:tcW w:w="96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21.0</w:t>
            </w:r>
          </w:p>
        </w:tc>
        <w:tc>
          <w:tcPr>
            <w:tcW w:w="22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highlight w:val="lightGray"/>
              </w:rPr>
              <w:t>%</w:t>
            </w: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5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380</w:t>
            </w:r>
          </w:p>
        </w:tc>
        <w:tc>
          <w:tcPr>
            <w:tcW w:w="90" w:type="dxa"/>
            <w:vAlign w:val="bottom"/>
            <w:tcBorders>
              <w:top w:val="single" w:sz="8" w:color="DDDDDD"/>
              <w:bottom w:val="single" w:sz="8" w:color="DDDDDD"/>
            </w:tcBorders>
            <w:shd w:val="clear" w:color="auto" w:fill="DDDDDD"/>
          </w:tcPr>
          <w:p>
            <w:pPr>
              <w:spacing w:after="0"/>
              <w:rPr>
                <w:sz w:val="15"/>
                <w:szCs w:val="15"/>
                <w:color w:val="auto"/>
              </w:rPr>
            </w:pPr>
          </w:p>
        </w:tc>
        <w:tc>
          <w:tcPr>
            <w:tcW w:w="180" w:type="dxa"/>
            <w:vAlign w:val="bottom"/>
            <w:tcBorders>
              <w:top w:val="single" w:sz="8" w:color="DDDDDD"/>
              <w:bottom w:val="single" w:sz="8" w:color="DDDDDD"/>
            </w:tcBorders>
            <w:shd w:val="clear" w:color="auto" w:fill="DDDDDD"/>
          </w:tcPr>
          <w:p>
            <w:pPr>
              <w:spacing w:after="0"/>
              <w:rPr>
                <w:sz w:val="15"/>
                <w:szCs w:val="15"/>
                <w:color w:val="auto"/>
              </w:rPr>
            </w:pPr>
          </w:p>
        </w:tc>
        <w:tc>
          <w:tcPr>
            <w:tcW w:w="20" w:type="dxa"/>
            <w:vAlign w:val="bottom"/>
            <w:tcBorders>
              <w:top w:val="single" w:sz="8" w:color="DDDDDD"/>
            </w:tcBorders>
          </w:tcPr>
          <w:p>
            <w:pPr>
              <w:spacing w:after="0"/>
              <w:rPr>
                <w:sz w:val="15"/>
                <w:szCs w:val="15"/>
                <w:color w:val="auto"/>
              </w:rPr>
            </w:pPr>
          </w:p>
        </w:tc>
        <w:tc>
          <w:tcPr>
            <w:tcW w:w="95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21.0</w:t>
            </w:r>
          </w:p>
        </w:tc>
        <w:tc>
          <w:tcPr>
            <w:tcW w:w="210" w:type="dxa"/>
            <w:vAlign w:val="bottom"/>
            <w:tcBorders>
              <w:top w:val="single" w:sz="8" w:color="DDDDDD"/>
              <w:bottom w:val="single" w:sz="8" w:color="DDDDDD"/>
            </w:tcBorders>
            <w:shd w:val="clear" w:color="auto" w:fill="DDDDDD"/>
          </w:tcPr>
          <w:p>
            <w:pPr>
              <w:ind w:left="10"/>
              <w:spacing w:after="0" w:line="182" w:lineRule="exact"/>
              <w:rPr>
                <w:sz w:val="20"/>
                <w:szCs w:val="20"/>
                <w:color w:val="auto"/>
              </w:rPr>
            </w:pPr>
            <w:r>
              <w:rPr>
                <w:rFonts w:ascii="Times New Roman" w:cs="Times New Roman" w:eastAsia="Times New Roman" w:hAnsi="Times New Roman"/>
                <w:sz w:val="18"/>
                <w:szCs w:val="18"/>
                <w:color w:val="auto"/>
                <w:highlight w:val="lightGray"/>
              </w:rPr>
              <w:t>%</w:t>
            </w:r>
          </w:p>
        </w:tc>
      </w:tr>
      <w:tr>
        <w:trPr>
          <w:trHeight w:val="202"/>
        </w:trPr>
        <w:tc>
          <w:tcPr>
            <w:tcW w:w="5600" w:type="dxa"/>
            <w:vAlign w:val="bottom"/>
            <w:tcBorders>
              <w:bottom w:val="single" w:sz="8" w:color="DDDDDD"/>
            </w:tcBorders>
          </w:tcPr>
          <w:p>
            <w:pPr>
              <w:spacing w:after="0" w:line="202" w:lineRule="exact"/>
              <w:rPr>
                <w:sz w:val="20"/>
                <w:szCs w:val="20"/>
                <w:color w:val="auto"/>
              </w:rPr>
            </w:pPr>
            <w:r>
              <w:rPr>
                <w:rFonts w:ascii="Times New Roman" w:cs="Times New Roman" w:eastAsia="Times New Roman" w:hAnsi="Times New Roman"/>
                <w:sz w:val="18"/>
                <w:szCs w:val="18"/>
                <w:color w:val="auto"/>
              </w:rPr>
              <w:t>State income tax provision</w:t>
            </w:r>
            <w:r>
              <w:rPr>
                <w:rFonts w:ascii="Times New Roman" w:cs="Times New Roman" w:eastAsia="Times New Roman" w:hAnsi="Times New Roman"/>
                <w:sz w:val="9"/>
                <w:szCs w:val="9"/>
                <w:color w:val="auto"/>
              </w:rPr>
              <w:t>(1)</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50" w:type="dxa"/>
            <w:vAlign w:val="bottom"/>
            <w:tcBorders>
              <w:bottom w:val="single" w:sz="8" w:color="DDDDDD"/>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186</w:t>
            </w:r>
          </w:p>
        </w:tc>
        <w:tc>
          <w:tcPr>
            <w:tcW w:w="90" w:type="dxa"/>
            <w:vAlign w:val="bottom"/>
            <w:tcBorders>
              <w:bottom w:val="single" w:sz="8" w:color="DDDDDD"/>
            </w:tcBorders>
          </w:tcPr>
          <w:p>
            <w:pPr>
              <w:spacing w:after="0"/>
              <w:rPr>
                <w:sz w:val="17"/>
                <w:szCs w:val="17"/>
                <w:color w:val="auto"/>
              </w:rPr>
            </w:pPr>
          </w:p>
        </w:tc>
        <w:tc>
          <w:tcPr>
            <w:tcW w:w="180" w:type="dxa"/>
            <w:vAlign w:val="bottom"/>
            <w:tcBorders>
              <w:bottom w:val="single" w:sz="8" w:color="DDDDDD"/>
            </w:tcBorders>
          </w:tcPr>
          <w:p>
            <w:pPr>
              <w:spacing w:after="0"/>
              <w:rPr>
                <w:sz w:val="17"/>
                <w:szCs w:val="17"/>
                <w:color w:val="auto"/>
              </w:rPr>
            </w:pPr>
          </w:p>
        </w:tc>
        <w:tc>
          <w:tcPr>
            <w:tcW w:w="1180" w:type="dxa"/>
            <w:vAlign w:val="bottom"/>
            <w:tcBorders>
              <w:bottom w:val="single" w:sz="8" w:color="DDDDDD"/>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4.1 %</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5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72</w:t>
            </w:r>
          </w:p>
        </w:tc>
        <w:tc>
          <w:tcPr>
            <w:tcW w:w="90" w:type="dxa"/>
            <w:vAlign w:val="bottom"/>
            <w:tcBorders>
              <w:bottom w:val="single" w:sz="8" w:color="DDDDDD"/>
            </w:tcBorders>
          </w:tcPr>
          <w:p>
            <w:pPr>
              <w:spacing w:after="0"/>
              <w:rPr>
                <w:sz w:val="17"/>
                <w:szCs w:val="17"/>
                <w:color w:val="auto"/>
              </w:rPr>
            </w:pPr>
          </w:p>
        </w:tc>
        <w:tc>
          <w:tcPr>
            <w:tcW w:w="18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1160" w:type="dxa"/>
            <w:vAlign w:val="bottom"/>
            <w:tcBorders>
              <w:bottom w:val="single" w:sz="8" w:color="DDDDDD"/>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4.0 %</w:t>
            </w:r>
          </w:p>
        </w:tc>
      </w:tr>
      <w:tr>
        <w:trPr>
          <w:trHeight w:val="192"/>
        </w:trPr>
        <w:tc>
          <w:tcPr>
            <w:tcW w:w="5600" w:type="dxa"/>
            <w:vAlign w:val="bottom"/>
            <w:tcBorders>
              <w:bottom w:val="single" w:sz="8" w:color="DDDDDD"/>
            </w:tcBorders>
            <w:shd w:val="clear" w:color="auto" w:fill="DDDDDD"/>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Nontaxable or nondeductible items:</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20" w:type="dxa"/>
            <w:vAlign w:val="bottom"/>
            <w:tcBorders>
              <w:bottom w:val="single" w:sz="8" w:color="DDDDDD"/>
            </w:tcBorders>
            <w:shd w:val="clear" w:color="auto" w:fill="DDDDDD"/>
          </w:tcPr>
          <w:p>
            <w:pPr>
              <w:spacing w:after="0"/>
              <w:rPr>
                <w:sz w:val="16"/>
                <w:szCs w:val="16"/>
                <w:color w:val="auto"/>
              </w:rPr>
            </w:pPr>
          </w:p>
        </w:tc>
        <w:tc>
          <w:tcPr>
            <w:tcW w:w="930" w:type="dxa"/>
            <w:vAlign w:val="bottom"/>
            <w:tcBorders>
              <w:bottom w:val="single" w:sz="8" w:color="DDDDDD"/>
            </w:tcBorders>
            <w:shd w:val="clear" w:color="auto" w:fill="DDDDDD"/>
          </w:tcPr>
          <w:p>
            <w:pPr>
              <w:spacing w:after="0"/>
              <w:rPr>
                <w:sz w:val="16"/>
                <w:szCs w:val="16"/>
                <w:color w:val="auto"/>
              </w:rPr>
            </w:pPr>
          </w:p>
        </w:tc>
        <w:tc>
          <w:tcPr>
            <w:tcW w:w="90" w:type="dxa"/>
            <w:vAlign w:val="bottom"/>
            <w:tcBorders>
              <w:bottom w:val="single" w:sz="8" w:color="DDDDDD"/>
            </w:tcBorders>
            <w:shd w:val="clear" w:color="auto" w:fill="DDDDDD"/>
          </w:tcPr>
          <w:p>
            <w:pPr>
              <w:spacing w:after="0"/>
              <w:rPr>
                <w:sz w:val="16"/>
                <w:szCs w:val="16"/>
                <w:color w:val="auto"/>
              </w:rPr>
            </w:pPr>
          </w:p>
        </w:tc>
        <w:tc>
          <w:tcPr>
            <w:tcW w:w="180" w:type="dxa"/>
            <w:vAlign w:val="bottom"/>
            <w:tcBorders>
              <w:bottom w:val="single" w:sz="8" w:color="DDDDDD"/>
            </w:tcBorders>
            <w:shd w:val="clear" w:color="auto" w:fill="DDDDDD"/>
          </w:tcPr>
          <w:p>
            <w:pPr>
              <w:spacing w:after="0"/>
              <w:rPr>
                <w:sz w:val="16"/>
                <w:szCs w:val="16"/>
                <w:color w:val="auto"/>
              </w:rPr>
            </w:pPr>
          </w:p>
        </w:tc>
        <w:tc>
          <w:tcPr>
            <w:tcW w:w="96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50" w:type="dxa"/>
            <w:vAlign w:val="bottom"/>
            <w:tcBorders>
              <w:bottom w:val="single" w:sz="8" w:color="DDDDDD"/>
            </w:tcBorders>
            <w:shd w:val="clear" w:color="auto" w:fill="DDDDDD"/>
          </w:tcPr>
          <w:p>
            <w:pPr>
              <w:spacing w:after="0"/>
              <w:rPr>
                <w:sz w:val="16"/>
                <w:szCs w:val="16"/>
                <w:color w:val="auto"/>
              </w:rPr>
            </w:pPr>
          </w:p>
        </w:tc>
        <w:tc>
          <w:tcPr>
            <w:tcW w:w="90" w:type="dxa"/>
            <w:vAlign w:val="bottom"/>
            <w:tcBorders>
              <w:bottom w:val="single" w:sz="8" w:color="DDDDDD"/>
            </w:tcBorders>
            <w:shd w:val="clear" w:color="auto" w:fill="DDDDDD"/>
          </w:tcPr>
          <w:p>
            <w:pPr>
              <w:spacing w:after="0"/>
              <w:rPr>
                <w:sz w:val="16"/>
                <w:szCs w:val="16"/>
                <w:color w:val="auto"/>
              </w:rPr>
            </w:pPr>
          </w:p>
        </w:tc>
        <w:tc>
          <w:tcPr>
            <w:tcW w:w="180" w:type="dxa"/>
            <w:vAlign w:val="bottom"/>
            <w:tcBorders>
              <w:bottom w:val="single" w:sz="8" w:color="DDDDDD"/>
            </w:tcBorders>
            <w:shd w:val="clear" w:color="auto" w:fill="DDDDDD"/>
          </w:tcPr>
          <w:p>
            <w:pPr>
              <w:spacing w:after="0"/>
              <w:rPr>
                <w:sz w:val="16"/>
                <w:szCs w:val="16"/>
                <w:color w:val="auto"/>
              </w:rPr>
            </w:pPr>
          </w:p>
        </w:tc>
        <w:tc>
          <w:tcPr>
            <w:tcW w:w="20" w:type="dxa"/>
            <w:vAlign w:val="bottom"/>
          </w:tcPr>
          <w:p>
            <w:pPr>
              <w:spacing w:after="0"/>
              <w:rPr>
                <w:sz w:val="16"/>
                <w:szCs w:val="16"/>
                <w:color w:val="auto"/>
              </w:rPr>
            </w:pPr>
          </w:p>
        </w:tc>
        <w:tc>
          <w:tcPr>
            <w:tcW w:w="950" w:type="dxa"/>
            <w:vAlign w:val="bottom"/>
            <w:tcBorders>
              <w:bottom w:val="single" w:sz="8" w:color="DDDDDD"/>
            </w:tcBorders>
            <w:shd w:val="clear" w:color="auto" w:fill="DDDDDD"/>
          </w:tcPr>
          <w:p>
            <w:pPr>
              <w:spacing w:after="0"/>
              <w:rPr>
                <w:sz w:val="16"/>
                <w:szCs w:val="16"/>
                <w:color w:val="auto"/>
              </w:rPr>
            </w:pPr>
          </w:p>
        </w:tc>
        <w:tc>
          <w:tcPr>
            <w:tcW w:w="210" w:type="dxa"/>
            <w:vAlign w:val="bottom"/>
            <w:tcBorders>
              <w:bottom w:val="single" w:sz="8" w:color="DDDDDD"/>
            </w:tcBorders>
            <w:shd w:val="clear" w:color="auto" w:fill="DDDDDD"/>
          </w:tcPr>
          <w:p>
            <w:pPr>
              <w:spacing w:after="0"/>
              <w:rPr>
                <w:sz w:val="16"/>
                <w:szCs w:val="16"/>
                <w:color w:val="auto"/>
              </w:rPr>
            </w:pPr>
          </w:p>
        </w:tc>
      </w:tr>
      <w:tr>
        <w:trPr>
          <w:trHeight w:val="202"/>
        </w:trPr>
        <w:tc>
          <w:tcPr>
            <w:tcW w:w="5600" w:type="dxa"/>
            <w:vAlign w:val="bottom"/>
            <w:tcBorders>
              <w:bottom w:val="single" w:sz="8" w:color="DDDDDD"/>
            </w:tcBorders>
          </w:tcPr>
          <w:p>
            <w:pPr>
              <w:ind w:left="180"/>
              <w:spacing w:after="0" w:line="202" w:lineRule="exact"/>
              <w:rPr>
                <w:sz w:val="20"/>
                <w:szCs w:val="20"/>
                <w:color w:val="auto"/>
              </w:rPr>
            </w:pPr>
            <w:r>
              <w:rPr>
                <w:rFonts w:ascii="Times New Roman" w:cs="Times New Roman" w:eastAsia="Times New Roman" w:hAnsi="Times New Roman"/>
                <w:sz w:val="18"/>
                <w:szCs w:val="18"/>
                <w:color w:val="auto"/>
              </w:rPr>
              <w:t>Prospective change in MBS carrying value</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50" w:type="dxa"/>
            <w:vAlign w:val="bottom"/>
            <w:tcBorders>
              <w:bottom w:val="single" w:sz="8" w:color="DDDDDD"/>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90" w:type="dxa"/>
            <w:vAlign w:val="bottom"/>
            <w:tcBorders>
              <w:bottom w:val="single" w:sz="8" w:color="DDDDDD"/>
            </w:tcBorders>
          </w:tcPr>
          <w:p>
            <w:pPr>
              <w:spacing w:after="0"/>
              <w:rPr>
                <w:sz w:val="17"/>
                <w:szCs w:val="17"/>
                <w:color w:val="auto"/>
              </w:rPr>
            </w:pPr>
          </w:p>
        </w:tc>
        <w:tc>
          <w:tcPr>
            <w:tcW w:w="180" w:type="dxa"/>
            <w:vAlign w:val="bottom"/>
            <w:tcBorders>
              <w:bottom w:val="single" w:sz="8" w:color="DDDDDD"/>
            </w:tcBorders>
          </w:tcPr>
          <w:p>
            <w:pPr>
              <w:spacing w:after="0"/>
              <w:rPr>
                <w:sz w:val="17"/>
                <w:szCs w:val="17"/>
                <w:color w:val="auto"/>
              </w:rPr>
            </w:pPr>
          </w:p>
        </w:tc>
        <w:tc>
          <w:tcPr>
            <w:tcW w:w="96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5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329</w:t>
            </w:r>
          </w:p>
        </w:tc>
        <w:tc>
          <w:tcPr>
            <w:tcW w:w="90" w:type="dxa"/>
            <w:vAlign w:val="bottom"/>
            <w:tcBorders>
              <w:bottom w:val="single" w:sz="8" w:color="DDDDDD"/>
            </w:tcBorders>
          </w:tcPr>
          <w:p>
            <w:pPr>
              <w:spacing w:after="0"/>
              <w:rPr>
                <w:sz w:val="17"/>
                <w:szCs w:val="17"/>
                <w:color w:val="auto"/>
              </w:rPr>
            </w:pPr>
          </w:p>
        </w:tc>
        <w:tc>
          <w:tcPr>
            <w:tcW w:w="18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1160" w:type="dxa"/>
            <w:vAlign w:val="bottom"/>
            <w:tcBorders>
              <w:bottom w:val="single" w:sz="8" w:color="DDDDDD"/>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18.2 %</w:t>
            </w:r>
          </w:p>
        </w:tc>
      </w:tr>
      <w:tr>
        <w:trPr>
          <w:trHeight w:val="191"/>
        </w:trPr>
        <w:tc>
          <w:tcPr>
            <w:tcW w:w="5600" w:type="dxa"/>
            <w:vAlign w:val="bottom"/>
            <w:tcBorders>
              <w:bottom w:val="single" w:sz="8" w:color="DDDDDD"/>
            </w:tcBorders>
            <w:shd w:val="clear" w:color="auto" w:fill="DDDDDD"/>
          </w:tcPr>
          <w:p>
            <w:pPr>
              <w:ind w:left="180"/>
              <w:spacing w:after="0" w:line="191" w:lineRule="exact"/>
              <w:rPr>
                <w:sz w:val="20"/>
                <w:szCs w:val="20"/>
                <w:color w:val="auto"/>
              </w:rPr>
            </w:pPr>
            <w:r>
              <w:rPr>
                <w:rFonts w:ascii="Times New Roman" w:cs="Times New Roman" w:eastAsia="Times New Roman" w:hAnsi="Times New Roman"/>
                <w:sz w:val="18"/>
                <w:szCs w:val="18"/>
                <w:color w:val="auto"/>
              </w:rPr>
              <w:t>IRC section 162(m), excess compensation</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20" w:type="dxa"/>
            <w:vAlign w:val="bottom"/>
            <w:tcBorders>
              <w:bottom w:val="single" w:sz="8" w:color="DDDDDD"/>
            </w:tcBorders>
            <w:shd w:val="clear" w:color="auto" w:fill="DDDDDD"/>
          </w:tcPr>
          <w:p>
            <w:pPr>
              <w:spacing w:after="0"/>
              <w:rPr>
                <w:sz w:val="16"/>
                <w:szCs w:val="16"/>
                <w:color w:val="auto"/>
              </w:rPr>
            </w:pPr>
          </w:p>
        </w:tc>
        <w:tc>
          <w:tcPr>
            <w:tcW w:w="93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792</w:t>
            </w:r>
          </w:p>
        </w:tc>
        <w:tc>
          <w:tcPr>
            <w:tcW w:w="90" w:type="dxa"/>
            <w:vAlign w:val="bottom"/>
            <w:tcBorders>
              <w:bottom w:val="single" w:sz="8" w:color="DDDDDD"/>
            </w:tcBorders>
            <w:shd w:val="clear" w:color="auto" w:fill="DDDDDD"/>
          </w:tcPr>
          <w:p>
            <w:pPr>
              <w:spacing w:after="0"/>
              <w:rPr>
                <w:sz w:val="16"/>
                <w:szCs w:val="16"/>
                <w:color w:val="auto"/>
              </w:rPr>
            </w:pPr>
          </w:p>
        </w:tc>
        <w:tc>
          <w:tcPr>
            <w:tcW w:w="180" w:type="dxa"/>
            <w:vAlign w:val="bottom"/>
            <w:tcBorders>
              <w:bottom w:val="single" w:sz="8" w:color="DDDDDD"/>
            </w:tcBorders>
            <w:shd w:val="clear" w:color="auto" w:fill="DDDDDD"/>
          </w:tcPr>
          <w:p>
            <w:pPr>
              <w:spacing w:after="0"/>
              <w:rPr>
                <w:sz w:val="16"/>
                <w:szCs w:val="16"/>
                <w:color w:val="auto"/>
              </w:rPr>
            </w:pPr>
          </w:p>
        </w:tc>
        <w:tc>
          <w:tcPr>
            <w:tcW w:w="9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17.6</w:t>
            </w:r>
          </w:p>
        </w:tc>
        <w:tc>
          <w:tcPr>
            <w:tcW w:w="22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highlight w:val="lightGray"/>
              </w:rPr>
              <w:t>%</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740</w:t>
            </w:r>
          </w:p>
        </w:tc>
        <w:tc>
          <w:tcPr>
            <w:tcW w:w="90" w:type="dxa"/>
            <w:vAlign w:val="bottom"/>
            <w:tcBorders>
              <w:bottom w:val="single" w:sz="8" w:color="DDDDDD"/>
            </w:tcBorders>
            <w:shd w:val="clear" w:color="auto" w:fill="DDDDDD"/>
          </w:tcPr>
          <w:p>
            <w:pPr>
              <w:spacing w:after="0"/>
              <w:rPr>
                <w:sz w:val="16"/>
                <w:szCs w:val="16"/>
                <w:color w:val="auto"/>
              </w:rPr>
            </w:pPr>
          </w:p>
        </w:tc>
        <w:tc>
          <w:tcPr>
            <w:tcW w:w="180" w:type="dxa"/>
            <w:vAlign w:val="bottom"/>
            <w:tcBorders>
              <w:bottom w:val="single" w:sz="8" w:color="DDDDDD"/>
            </w:tcBorders>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9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40.9</w:t>
            </w:r>
          </w:p>
        </w:tc>
        <w:tc>
          <w:tcPr>
            <w:tcW w:w="210" w:type="dxa"/>
            <w:vAlign w:val="bottom"/>
            <w:tcBorders>
              <w:bottom w:val="single" w:sz="8" w:color="DDDDDD"/>
            </w:tcBorders>
            <w:shd w:val="clear" w:color="auto" w:fill="DDDDDD"/>
          </w:tcPr>
          <w:p>
            <w:pPr>
              <w:ind w:left="10"/>
              <w:spacing w:after="0" w:line="191" w:lineRule="exact"/>
              <w:rPr>
                <w:sz w:val="20"/>
                <w:szCs w:val="20"/>
                <w:color w:val="auto"/>
              </w:rPr>
            </w:pPr>
            <w:r>
              <w:rPr>
                <w:rFonts w:ascii="Times New Roman" w:cs="Times New Roman" w:eastAsia="Times New Roman" w:hAnsi="Times New Roman"/>
                <w:sz w:val="18"/>
                <w:szCs w:val="18"/>
                <w:color w:val="auto"/>
                <w:highlight w:val="lightGray"/>
              </w:rPr>
              <w:t>%</w:t>
            </w:r>
          </w:p>
        </w:tc>
      </w:tr>
      <w:tr>
        <w:trPr>
          <w:trHeight w:val="202"/>
        </w:trPr>
        <w:tc>
          <w:tcPr>
            <w:tcW w:w="5600" w:type="dxa"/>
            <w:vAlign w:val="bottom"/>
            <w:tcBorders>
              <w:bottom w:val="single" w:sz="8" w:color="DDDDDD"/>
            </w:tcBorders>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Changes in valuation allowance:</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930" w:type="dxa"/>
            <w:vAlign w:val="bottom"/>
            <w:tcBorders>
              <w:bottom w:val="single" w:sz="8" w:color="DDDDDD"/>
            </w:tcBorders>
          </w:tcPr>
          <w:p>
            <w:pPr>
              <w:spacing w:after="0"/>
              <w:rPr>
                <w:sz w:val="17"/>
                <w:szCs w:val="17"/>
                <w:color w:val="auto"/>
              </w:rPr>
            </w:pPr>
          </w:p>
        </w:tc>
        <w:tc>
          <w:tcPr>
            <w:tcW w:w="90" w:type="dxa"/>
            <w:vAlign w:val="bottom"/>
            <w:tcBorders>
              <w:bottom w:val="single" w:sz="8" w:color="DDDDDD"/>
            </w:tcBorders>
          </w:tcPr>
          <w:p>
            <w:pPr>
              <w:spacing w:after="0"/>
              <w:rPr>
                <w:sz w:val="17"/>
                <w:szCs w:val="17"/>
                <w:color w:val="auto"/>
              </w:rPr>
            </w:pPr>
          </w:p>
        </w:tc>
        <w:tc>
          <w:tcPr>
            <w:tcW w:w="180" w:type="dxa"/>
            <w:vAlign w:val="bottom"/>
            <w:tcBorders>
              <w:bottom w:val="single" w:sz="8" w:color="DDDDDD"/>
            </w:tcBorders>
          </w:tcPr>
          <w:p>
            <w:pPr>
              <w:spacing w:after="0"/>
              <w:rPr>
                <w:sz w:val="17"/>
                <w:szCs w:val="17"/>
                <w:color w:val="auto"/>
              </w:rPr>
            </w:pPr>
          </w:p>
        </w:tc>
        <w:tc>
          <w:tcPr>
            <w:tcW w:w="96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50" w:type="dxa"/>
            <w:vAlign w:val="bottom"/>
            <w:tcBorders>
              <w:bottom w:val="single" w:sz="8" w:color="DDDDDD"/>
            </w:tcBorders>
          </w:tcPr>
          <w:p>
            <w:pPr>
              <w:spacing w:after="0"/>
              <w:rPr>
                <w:sz w:val="17"/>
                <w:szCs w:val="17"/>
                <w:color w:val="auto"/>
              </w:rPr>
            </w:pPr>
          </w:p>
        </w:tc>
        <w:tc>
          <w:tcPr>
            <w:tcW w:w="90" w:type="dxa"/>
            <w:vAlign w:val="bottom"/>
            <w:tcBorders>
              <w:bottom w:val="single" w:sz="8" w:color="DDDDDD"/>
            </w:tcBorders>
          </w:tcPr>
          <w:p>
            <w:pPr>
              <w:spacing w:after="0"/>
              <w:rPr>
                <w:sz w:val="17"/>
                <w:szCs w:val="17"/>
                <w:color w:val="auto"/>
              </w:rPr>
            </w:pPr>
          </w:p>
        </w:tc>
        <w:tc>
          <w:tcPr>
            <w:tcW w:w="18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950" w:type="dxa"/>
            <w:vAlign w:val="bottom"/>
            <w:tcBorders>
              <w:bottom w:val="single" w:sz="8" w:color="DDDDDD"/>
            </w:tcBorders>
          </w:tcPr>
          <w:p>
            <w:pPr>
              <w:spacing w:after="0"/>
              <w:rPr>
                <w:sz w:val="17"/>
                <w:szCs w:val="17"/>
                <w:color w:val="auto"/>
              </w:rPr>
            </w:pPr>
          </w:p>
        </w:tc>
        <w:tc>
          <w:tcPr>
            <w:tcW w:w="210" w:type="dxa"/>
            <w:vAlign w:val="bottom"/>
            <w:tcBorders>
              <w:bottom w:val="single" w:sz="8" w:color="DDDDDD"/>
            </w:tcBorders>
          </w:tcPr>
          <w:p>
            <w:pPr>
              <w:spacing w:after="0"/>
              <w:rPr>
                <w:sz w:val="17"/>
                <w:szCs w:val="17"/>
                <w:color w:val="auto"/>
              </w:rPr>
            </w:pPr>
          </w:p>
        </w:tc>
      </w:tr>
      <w:tr>
        <w:trPr>
          <w:trHeight w:val="192"/>
        </w:trPr>
        <w:tc>
          <w:tcPr>
            <w:tcW w:w="5600" w:type="dxa"/>
            <w:vAlign w:val="bottom"/>
            <w:tcBorders>
              <w:bottom w:val="single" w:sz="8" w:color="DDDDDD"/>
            </w:tcBorders>
            <w:shd w:val="clear" w:color="auto" w:fill="DDDDDD"/>
          </w:tcPr>
          <w:p>
            <w:pPr>
              <w:ind w:left="180"/>
              <w:spacing w:after="0" w:line="193" w:lineRule="exact"/>
              <w:rPr>
                <w:sz w:val="20"/>
                <w:szCs w:val="20"/>
                <w:color w:val="auto"/>
              </w:rPr>
            </w:pPr>
            <w:r>
              <w:rPr>
                <w:rFonts w:ascii="Times New Roman" w:cs="Times New Roman" w:eastAsia="Times New Roman" w:hAnsi="Times New Roman"/>
                <w:sz w:val="18"/>
                <w:szCs w:val="18"/>
                <w:color w:val="auto"/>
              </w:rPr>
              <w:t>(Decrease) increase of deferred tax asset valuation allowance</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20" w:type="dxa"/>
            <w:vAlign w:val="bottom"/>
            <w:tcBorders>
              <w:bottom w:val="single" w:sz="8" w:color="DDDDDD"/>
            </w:tcBorders>
            <w:shd w:val="clear" w:color="auto" w:fill="DDDDDD"/>
          </w:tcPr>
          <w:p>
            <w:pPr>
              <w:spacing w:after="0"/>
              <w:rPr>
                <w:sz w:val="16"/>
                <w:szCs w:val="16"/>
                <w:color w:val="auto"/>
              </w:rPr>
            </w:pPr>
          </w:p>
        </w:tc>
        <w:tc>
          <w:tcPr>
            <w:tcW w:w="93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(3,711</w:t>
            </w:r>
          </w:p>
        </w:tc>
        <w:tc>
          <w:tcPr>
            <w:tcW w:w="9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80" w:type="dxa"/>
            <w:vAlign w:val="bottom"/>
            <w:tcBorders>
              <w:bottom w:val="single" w:sz="8" w:color="DDDDDD"/>
            </w:tcBorders>
            <w:shd w:val="clear" w:color="auto" w:fill="DDDDDD"/>
          </w:tcPr>
          <w:p>
            <w:pPr>
              <w:spacing w:after="0"/>
              <w:rPr>
                <w:sz w:val="16"/>
                <w:szCs w:val="16"/>
                <w:color w:val="auto"/>
              </w:rPr>
            </w:pPr>
          </w:p>
        </w:tc>
        <w:tc>
          <w:tcPr>
            <w:tcW w:w="96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(82.6</w:t>
            </w:r>
          </w:p>
        </w:tc>
        <w:tc>
          <w:tcPr>
            <w:tcW w:w="220" w:type="dxa"/>
            <w:vAlign w:val="bottom"/>
            <w:tcBorders>
              <w:bottom w:val="single" w:sz="8" w:color="DDDDDD"/>
            </w:tcBorders>
            <w:shd w:val="clear" w:color="auto" w:fill="DDDDDD"/>
          </w:tcPr>
          <w:p>
            <w:pPr>
              <w:spacing w:after="0" w:line="193" w:lineRule="exact"/>
              <w:rPr>
                <w:sz w:val="20"/>
                <w:szCs w:val="20"/>
                <w:color w:val="auto"/>
              </w:rPr>
            </w:pPr>
            <w:r>
              <w:rPr>
                <w:rFonts w:ascii="Times New Roman" w:cs="Times New Roman" w:eastAsia="Times New Roman" w:hAnsi="Times New Roman"/>
                <w:sz w:val="18"/>
                <w:szCs w:val="18"/>
                <w:color w:val="auto"/>
                <w:highlight w:val="lightGray"/>
                <w:w w:val="95"/>
              </w:rPr>
              <w:t>)%</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5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1,286</w:t>
            </w:r>
          </w:p>
        </w:tc>
        <w:tc>
          <w:tcPr>
            <w:tcW w:w="90" w:type="dxa"/>
            <w:vAlign w:val="bottom"/>
            <w:tcBorders>
              <w:bottom w:val="single" w:sz="8" w:color="DDDDDD"/>
            </w:tcBorders>
            <w:shd w:val="clear" w:color="auto" w:fill="DDDDDD"/>
          </w:tcPr>
          <w:p>
            <w:pPr>
              <w:spacing w:after="0"/>
              <w:rPr>
                <w:sz w:val="16"/>
                <w:szCs w:val="16"/>
                <w:color w:val="auto"/>
              </w:rPr>
            </w:pPr>
          </w:p>
        </w:tc>
        <w:tc>
          <w:tcPr>
            <w:tcW w:w="180" w:type="dxa"/>
            <w:vAlign w:val="bottom"/>
            <w:tcBorders>
              <w:bottom w:val="single" w:sz="8" w:color="DDDDDD"/>
            </w:tcBorders>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95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71.0</w:t>
            </w:r>
          </w:p>
        </w:tc>
        <w:tc>
          <w:tcPr>
            <w:tcW w:w="210" w:type="dxa"/>
            <w:vAlign w:val="bottom"/>
            <w:tcBorders>
              <w:bottom w:val="single" w:sz="8" w:color="DDDDDD"/>
            </w:tcBorders>
            <w:shd w:val="clear" w:color="auto" w:fill="DDDDDD"/>
          </w:tcPr>
          <w:p>
            <w:pPr>
              <w:ind w:left="10"/>
              <w:spacing w:after="0" w:line="193" w:lineRule="exact"/>
              <w:rPr>
                <w:sz w:val="20"/>
                <w:szCs w:val="20"/>
                <w:color w:val="auto"/>
              </w:rPr>
            </w:pPr>
            <w:r>
              <w:rPr>
                <w:rFonts w:ascii="Times New Roman" w:cs="Times New Roman" w:eastAsia="Times New Roman" w:hAnsi="Times New Roman"/>
                <w:sz w:val="18"/>
                <w:szCs w:val="18"/>
                <w:color w:val="auto"/>
                <w:highlight w:val="lightGray"/>
              </w:rPr>
              <w:t>%</w:t>
            </w:r>
          </w:p>
        </w:tc>
      </w:tr>
      <w:tr>
        <w:trPr>
          <w:trHeight w:val="202"/>
        </w:trPr>
        <w:tc>
          <w:tcPr>
            <w:tcW w:w="5600" w:type="dxa"/>
            <w:vAlign w:val="bottom"/>
            <w:tcBorders>
              <w:bottom w:val="single" w:sz="8" w:color="DDDDDD"/>
            </w:tcBorders>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Other adjustments:</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930" w:type="dxa"/>
            <w:vAlign w:val="bottom"/>
            <w:tcBorders>
              <w:bottom w:val="single" w:sz="8" w:color="DDDDDD"/>
            </w:tcBorders>
          </w:tcPr>
          <w:p>
            <w:pPr>
              <w:spacing w:after="0"/>
              <w:rPr>
                <w:sz w:val="17"/>
                <w:szCs w:val="17"/>
                <w:color w:val="auto"/>
              </w:rPr>
            </w:pPr>
          </w:p>
        </w:tc>
        <w:tc>
          <w:tcPr>
            <w:tcW w:w="90" w:type="dxa"/>
            <w:vAlign w:val="bottom"/>
            <w:tcBorders>
              <w:bottom w:val="single" w:sz="8" w:color="DDDDDD"/>
            </w:tcBorders>
          </w:tcPr>
          <w:p>
            <w:pPr>
              <w:spacing w:after="0"/>
              <w:rPr>
                <w:sz w:val="17"/>
                <w:szCs w:val="17"/>
                <w:color w:val="auto"/>
              </w:rPr>
            </w:pPr>
          </w:p>
        </w:tc>
        <w:tc>
          <w:tcPr>
            <w:tcW w:w="180" w:type="dxa"/>
            <w:vAlign w:val="bottom"/>
            <w:tcBorders>
              <w:bottom w:val="single" w:sz="8" w:color="DDDDDD"/>
            </w:tcBorders>
          </w:tcPr>
          <w:p>
            <w:pPr>
              <w:spacing w:after="0"/>
              <w:rPr>
                <w:sz w:val="17"/>
                <w:szCs w:val="17"/>
                <w:color w:val="auto"/>
              </w:rPr>
            </w:pPr>
          </w:p>
        </w:tc>
        <w:tc>
          <w:tcPr>
            <w:tcW w:w="96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50" w:type="dxa"/>
            <w:vAlign w:val="bottom"/>
            <w:tcBorders>
              <w:bottom w:val="single" w:sz="8" w:color="DDDDDD"/>
            </w:tcBorders>
          </w:tcPr>
          <w:p>
            <w:pPr>
              <w:spacing w:after="0"/>
              <w:rPr>
                <w:sz w:val="17"/>
                <w:szCs w:val="17"/>
                <w:color w:val="auto"/>
              </w:rPr>
            </w:pPr>
          </w:p>
        </w:tc>
        <w:tc>
          <w:tcPr>
            <w:tcW w:w="90" w:type="dxa"/>
            <w:vAlign w:val="bottom"/>
            <w:tcBorders>
              <w:bottom w:val="single" w:sz="8" w:color="DDDDDD"/>
            </w:tcBorders>
          </w:tcPr>
          <w:p>
            <w:pPr>
              <w:spacing w:after="0"/>
              <w:rPr>
                <w:sz w:val="17"/>
                <w:szCs w:val="17"/>
                <w:color w:val="auto"/>
              </w:rPr>
            </w:pPr>
          </w:p>
        </w:tc>
        <w:tc>
          <w:tcPr>
            <w:tcW w:w="18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950" w:type="dxa"/>
            <w:vAlign w:val="bottom"/>
            <w:tcBorders>
              <w:bottom w:val="single" w:sz="8" w:color="DDDDDD"/>
            </w:tcBorders>
          </w:tcPr>
          <w:p>
            <w:pPr>
              <w:spacing w:after="0"/>
              <w:rPr>
                <w:sz w:val="17"/>
                <w:szCs w:val="17"/>
                <w:color w:val="auto"/>
              </w:rPr>
            </w:pPr>
          </w:p>
        </w:tc>
        <w:tc>
          <w:tcPr>
            <w:tcW w:w="210" w:type="dxa"/>
            <w:vAlign w:val="bottom"/>
            <w:tcBorders>
              <w:bottom w:val="single" w:sz="8" w:color="DDDDDD"/>
            </w:tcBorders>
          </w:tcPr>
          <w:p>
            <w:pPr>
              <w:spacing w:after="0"/>
              <w:rPr>
                <w:sz w:val="17"/>
                <w:szCs w:val="17"/>
                <w:color w:val="auto"/>
              </w:rPr>
            </w:pPr>
          </w:p>
        </w:tc>
      </w:tr>
      <w:tr>
        <w:trPr>
          <w:trHeight w:val="212"/>
        </w:trPr>
        <w:tc>
          <w:tcPr>
            <w:tcW w:w="5600" w:type="dxa"/>
            <w:vAlign w:val="bottom"/>
            <w:tcBorders>
              <w:bottom w:val="single" w:sz="8" w:color="DDDDDD"/>
            </w:tcBorders>
            <w:shd w:val="clear" w:color="auto" w:fill="DDDDDD"/>
          </w:tcPr>
          <w:p>
            <w:pPr>
              <w:ind w:left="180"/>
              <w:spacing w:after="0" w:line="191" w:lineRule="exact"/>
              <w:rPr>
                <w:sz w:val="20"/>
                <w:szCs w:val="20"/>
                <w:color w:val="auto"/>
              </w:rPr>
            </w:pPr>
            <w:r>
              <w:rPr>
                <w:rFonts w:ascii="Times New Roman" w:cs="Times New Roman" w:eastAsia="Times New Roman" w:hAnsi="Times New Roman"/>
                <w:sz w:val="18"/>
                <w:szCs w:val="18"/>
                <w:color w:val="auto"/>
              </w:rPr>
              <w:t>Capital loss adjustment</w:t>
            </w:r>
          </w:p>
        </w:tc>
        <w:tc>
          <w:tcPr>
            <w:tcW w:w="10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20" w:type="dxa"/>
            <w:vAlign w:val="bottom"/>
            <w:tcBorders>
              <w:bottom w:val="single" w:sz="8" w:color="DDDDDD"/>
            </w:tcBorders>
            <w:shd w:val="clear" w:color="auto" w:fill="DDDDDD"/>
          </w:tcPr>
          <w:p>
            <w:pPr>
              <w:spacing w:after="0"/>
              <w:rPr>
                <w:sz w:val="18"/>
                <w:szCs w:val="18"/>
                <w:color w:val="auto"/>
              </w:rPr>
            </w:pPr>
          </w:p>
        </w:tc>
        <w:tc>
          <w:tcPr>
            <w:tcW w:w="93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90" w:type="dxa"/>
            <w:vAlign w:val="bottom"/>
            <w:tcBorders>
              <w:bottom w:val="single" w:sz="8" w:color="DDDDDD"/>
            </w:tcBorders>
            <w:shd w:val="clear" w:color="auto" w:fill="DDDDDD"/>
          </w:tcPr>
          <w:p>
            <w:pPr>
              <w:spacing w:after="0"/>
              <w:rPr>
                <w:sz w:val="18"/>
                <w:szCs w:val="18"/>
                <w:color w:val="auto"/>
              </w:rPr>
            </w:pPr>
          </w:p>
        </w:tc>
        <w:tc>
          <w:tcPr>
            <w:tcW w:w="180" w:type="dxa"/>
            <w:vAlign w:val="bottom"/>
            <w:tcBorders>
              <w:bottom w:val="single" w:sz="8" w:color="DDDDDD"/>
            </w:tcBorders>
            <w:shd w:val="clear" w:color="auto" w:fill="DDDDDD"/>
          </w:tcPr>
          <w:p>
            <w:pPr>
              <w:spacing w:after="0"/>
              <w:rPr>
                <w:sz w:val="18"/>
                <w:szCs w:val="18"/>
                <w:color w:val="auto"/>
              </w:rPr>
            </w:pPr>
          </w:p>
        </w:tc>
        <w:tc>
          <w:tcPr>
            <w:tcW w:w="9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9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217</w:t>
            </w:r>
          </w:p>
        </w:tc>
        <w:tc>
          <w:tcPr>
            <w:tcW w:w="90" w:type="dxa"/>
            <w:vAlign w:val="bottom"/>
            <w:tcBorders>
              <w:bottom w:val="single" w:sz="8" w:color="DDDDDD"/>
            </w:tcBorders>
            <w:shd w:val="clear" w:color="auto" w:fill="DDDDDD"/>
          </w:tcPr>
          <w:p>
            <w:pPr>
              <w:spacing w:after="0"/>
              <w:rPr>
                <w:sz w:val="18"/>
                <w:szCs w:val="18"/>
                <w:color w:val="auto"/>
              </w:rPr>
            </w:pPr>
          </w:p>
        </w:tc>
        <w:tc>
          <w:tcPr>
            <w:tcW w:w="180" w:type="dxa"/>
            <w:vAlign w:val="bottom"/>
            <w:tcBorders>
              <w:bottom w:val="single" w:sz="8" w:color="DDDDDD"/>
            </w:tcBorders>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9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12.0</w:t>
            </w:r>
          </w:p>
        </w:tc>
        <w:tc>
          <w:tcPr>
            <w:tcW w:w="210" w:type="dxa"/>
            <w:vAlign w:val="bottom"/>
            <w:tcBorders>
              <w:bottom w:val="single" w:sz="8" w:color="DDDDDD"/>
            </w:tcBorders>
            <w:shd w:val="clear" w:color="auto" w:fill="DDDDDD"/>
          </w:tcPr>
          <w:p>
            <w:pPr>
              <w:ind w:left="10"/>
              <w:spacing w:after="0" w:line="191" w:lineRule="exact"/>
              <w:rPr>
                <w:sz w:val="20"/>
                <w:szCs w:val="20"/>
                <w:color w:val="auto"/>
              </w:rPr>
            </w:pPr>
            <w:r>
              <w:rPr>
                <w:rFonts w:ascii="Times New Roman" w:cs="Times New Roman" w:eastAsia="Times New Roman" w:hAnsi="Times New Roman"/>
                <w:sz w:val="18"/>
                <w:szCs w:val="18"/>
                <w:color w:val="auto"/>
                <w:highlight w:val="lightGray"/>
              </w:rPr>
              <w:t>%</w:t>
            </w:r>
          </w:p>
        </w:tc>
      </w:tr>
      <w:tr>
        <w:trPr>
          <w:trHeight w:val="181"/>
        </w:trPr>
        <w:tc>
          <w:tcPr>
            <w:tcW w:w="5600" w:type="dxa"/>
            <w:vAlign w:val="bottom"/>
            <w:tcBorders>
              <w:bottom w:val="single" w:sz="8" w:color="DDDDDD"/>
            </w:tcBorders>
          </w:tcPr>
          <w:p>
            <w:pPr>
              <w:ind w:left="180"/>
              <w:spacing w:after="0" w:line="182" w:lineRule="exact"/>
              <w:rPr>
                <w:sz w:val="20"/>
                <w:szCs w:val="20"/>
                <w:color w:val="auto"/>
              </w:rPr>
            </w:pPr>
            <w:r>
              <w:rPr>
                <w:rFonts w:ascii="Times New Roman" w:cs="Times New Roman" w:eastAsia="Times New Roman" w:hAnsi="Times New Roman"/>
                <w:sz w:val="18"/>
                <w:szCs w:val="18"/>
                <w:color w:val="auto"/>
              </w:rPr>
              <w:t>Expiration of capital loss carryover</w:t>
            </w:r>
          </w:p>
        </w:tc>
        <w:tc>
          <w:tcPr>
            <w:tcW w:w="100" w:type="dxa"/>
            <w:vAlign w:val="bottom"/>
            <w:tcBorders>
              <w:bottom w:val="single" w:sz="8" w:color="DDDDDD"/>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20" w:type="dxa"/>
            <w:vAlign w:val="bottom"/>
            <w:tcBorders>
              <w:bottom w:val="single" w:sz="8" w:color="DDDDDD"/>
            </w:tcBorders>
          </w:tcPr>
          <w:p>
            <w:pPr>
              <w:spacing w:after="0"/>
              <w:rPr>
                <w:sz w:val="15"/>
                <w:szCs w:val="15"/>
                <w:color w:val="auto"/>
              </w:rPr>
            </w:pPr>
          </w:p>
        </w:tc>
        <w:tc>
          <w:tcPr>
            <w:tcW w:w="930" w:type="dxa"/>
            <w:vAlign w:val="bottom"/>
            <w:tcBorders>
              <w:bottom w:val="single" w:sz="8" w:color="DDDDDD"/>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481</w:t>
            </w:r>
          </w:p>
        </w:tc>
        <w:tc>
          <w:tcPr>
            <w:tcW w:w="90" w:type="dxa"/>
            <w:vAlign w:val="bottom"/>
            <w:tcBorders>
              <w:bottom w:val="single" w:sz="8" w:color="DDDDDD"/>
            </w:tcBorders>
          </w:tcPr>
          <w:p>
            <w:pPr>
              <w:spacing w:after="0"/>
              <w:rPr>
                <w:sz w:val="15"/>
                <w:szCs w:val="15"/>
                <w:color w:val="auto"/>
              </w:rPr>
            </w:pPr>
          </w:p>
        </w:tc>
        <w:tc>
          <w:tcPr>
            <w:tcW w:w="180" w:type="dxa"/>
            <w:vAlign w:val="bottom"/>
            <w:tcBorders>
              <w:bottom w:val="single" w:sz="8" w:color="DDDDDD"/>
            </w:tcBorders>
          </w:tcPr>
          <w:p>
            <w:pPr>
              <w:spacing w:after="0"/>
              <w:rPr>
                <w:sz w:val="15"/>
                <w:szCs w:val="15"/>
                <w:color w:val="auto"/>
              </w:rPr>
            </w:pPr>
          </w:p>
        </w:tc>
        <w:tc>
          <w:tcPr>
            <w:tcW w:w="1180" w:type="dxa"/>
            <w:vAlign w:val="bottom"/>
            <w:tcBorders>
              <w:bottom w:val="single" w:sz="8" w:color="DDDDDD"/>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10.8 %</w:t>
            </w:r>
          </w:p>
        </w:tc>
        <w:tc>
          <w:tcPr>
            <w:tcW w:w="100" w:type="dxa"/>
            <w:vAlign w:val="bottom"/>
            <w:tcBorders>
              <w:bottom w:val="single" w:sz="8" w:color="DDDDDD"/>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950" w:type="dxa"/>
            <w:vAlign w:val="bottom"/>
            <w:tcBorders>
              <w:bottom w:val="single" w:sz="8" w:color="DDDDDD"/>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115</w:t>
            </w:r>
          </w:p>
        </w:tc>
        <w:tc>
          <w:tcPr>
            <w:tcW w:w="90" w:type="dxa"/>
            <w:vAlign w:val="bottom"/>
            <w:tcBorders>
              <w:bottom w:val="single" w:sz="8" w:color="DDDDDD"/>
            </w:tcBorders>
          </w:tcPr>
          <w:p>
            <w:pPr>
              <w:spacing w:after="0"/>
              <w:rPr>
                <w:sz w:val="15"/>
                <w:szCs w:val="15"/>
                <w:color w:val="auto"/>
              </w:rPr>
            </w:pPr>
          </w:p>
        </w:tc>
        <w:tc>
          <w:tcPr>
            <w:tcW w:w="180" w:type="dxa"/>
            <w:vAlign w:val="bottom"/>
            <w:tcBorders>
              <w:bottom w:val="single" w:sz="8" w:color="DDDDDD"/>
            </w:tcBorders>
          </w:tcPr>
          <w:p>
            <w:pPr>
              <w:spacing w:after="0"/>
              <w:rPr>
                <w:sz w:val="15"/>
                <w:szCs w:val="15"/>
                <w:color w:val="auto"/>
              </w:rPr>
            </w:pPr>
          </w:p>
        </w:tc>
        <w:tc>
          <w:tcPr>
            <w:tcW w:w="20" w:type="dxa"/>
            <w:vAlign w:val="bottom"/>
            <w:tcBorders>
              <w:bottom w:val="single" w:sz="8" w:color="DDDDDD"/>
            </w:tcBorders>
          </w:tcPr>
          <w:p>
            <w:pPr>
              <w:spacing w:after="0"/>
              <w:rPr>
                <w:sz w:val="15"/>
                <w:szCs w:val="15"/>
                <w:color w:val="auto"/>
              </w:rPr>
            </w:pPr>
          </w:p>
        </w:tc>
        <w:tc>
          <w:tcPr>
            <w:tcW w:w="1160" w:type="dxa"/>
            <w:vAlign w:val="bottom"/>
            <w:tcBorders>
              <w:bottom w:val="single" w:sz="8" w:color="DDDDDD"/>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6.4 %</w:t>
            </w:r>
          </w:p>
        </w:tc>
      </w:tr>
      <w:tr>
        <w:trPr>
          <w:trHeight w:val="195"/>
        </w:trPr>
        <w:tc>
          <w:tcPr>
            <w:tcW w:w="5600" w:type="dxa"/>
            <w:vAlign w:val="bottom"/>
            <w:tcBorders>
              <w:bottom w:val="single" w:sz="8" w:color="auto"/>
            </w:tcBorders>
            <w:shd w:val="clear" w:color="auto" w:fill="DDDDDD"/>
          </w:tcPr>
          <w:p>
            <w:pPr>
              <w:ind w:left="180"/>
              <w:spacing w:after="0" w:line="193" w:lineRule="exact"/>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20" w:type="dxa"/>
            <w:vAlign w:val="bottom"/>
            <w:tcBorders>
              <w:bottom w:val="single" w:sz="8" w:color="auto"/>
            </w:tcBorders>
            <w:shd w:val="clear" w:color="auto" w:fill="DDDDDD"/>
          </w:tcPr>
          <w:p>
            <w:pPr>
              <w:spacing w:after="0"/>
              <w:rPr>
                <w:sz w:val="16"/>
                <w:szCs w:val="16"/>
                <w:color w:val="auto"/>
              </w:rPr>
            </w:pPr>
          </w:p>
        </w:tc>
        <w:tc>
          <w:tcPr>
            <w:tcW w:w="930" w:type="dxa"/>
            <w:vAlign w:val="bottom"/>
            <w:tcBorders>
              <w:bottom w:val="single" w:sz="8" w:color="auto"/>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90" w:type="dxa"/>
            <w:vAlign w:val="bottom"/>
            <w:tcBorders>
              <w:bottom w:val="single" w:sz="8" w:color="auto"/>
            </w:tcBorders>
            <w:shd w:val="clear" w:color="auto" w:fill="DDDDDD"/>
          </w:tcPr>
          <w:p>
            <w:pPr>
              <w:spacing w:after="0"/>
              <w:rPr>
                <w:sz w:val="16"/>
                <w:szCs w:val="16"/>
                <w:color w:val="auto"/>
              </w:rPr>
            </w:pPr>
          </w:p>
        </w:tc>
        <w:tc>
          <w:tcPr>
            <w:tcW w:w="180" w:type="dxa"/>
            <w:vAlign w:val="bottom"/>
            <w:tcBorders>
              <w:bottom w:val="single" w:sz="8" w:color="auto"/>
            </w:tcBorders>
            <w:shd w:val="clear" w:color="auto" w:fill="DDDDDD"/>
          </w:tcPr>
          <w:p>
            <w:pPr>
              <w:spacing w:after="0"/>
              <w:rPr>
                <w:sz w:val="16"/>
                <w:szCs w:val="16"/>
                <w:color w:val="auto"/>
              </w:rPr>
            </w:pPr>
          </w:p>
        </w:tc>
        <w:tc>
          <w:tcPr>
            <w:tcW w:w="960" w:type="dxa"/>
            <w:vAlign w:val="bottom"/>
            <w:tcBorders>
              <w:bottom w:val="single" w:sz="8" w:color="auto"/>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950" w:type="dxa"/>
            <w:vAlign w:val="bottom"/>
            <w:tcBorders>
              <w:bottom w:val="single" w:sz="8" w:color="auto"/>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(22</w:t>
            </w:r>
          </w:p>
        </w:tc>
        <w:tc>
          <w:tcPr>
            <w:tcW w:w="9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80" w:type="dxa"/>
            <w:vAlign w:val="bottom"/>
            <w:tcBorders>
              <w:bottom w:val="single" w:sz="8" w:color="auto"/>
            </w:tcBorders>
            <w:shd w:val="clear" w:color="auto" w:fill="DDDDDD"/>
          </w:tcPr>
          <w:p>
            <w:pPr>
              <w:spacing w:after="0"/>
              <w:rPr>
                <w:sz w:val="16"/>
                <w:szCs w:val="16"/>
                <w:color w:val="auto"/>
              </w:rPr>
            </w:pPr>
          </w:p>
        </w:tc>
        <w:tc>
          <w:tcPr>
            <w:tcW w:w="20" w:type="dxa"/>
            <w:vAlign w:val="bottom"/>
            <w:tcBorders>
              <w:bottom w:val="single" w:sz="8" w:color="auto"/>
            </w:tcBorders>
            <w:shd w:val="clear" w:color="auto" w:fill="DDDDDD"/>
          </w:tcPr>
          <w:p>
            <w:pPr>
              <w:spacing w:after="0"/>
              <w:rPr>
                <w:sz w:val="16"/>
                <w:szCs w:val="16"/>
                <w:color w:val="auto"/>
              </w:rPr>
            </w:pPr>
          </w:p>
        </w:tc>
        <w:tc>
          <w:tcPr>
            <w:tcW w:w="950" w:type="dxa"/>
            <w:vAlign w:val="bottom"/>
            <w:tcBorders>
              <w:bottom w:val="single" w:sz="8" w:color="auto"/>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(1.3</w:t>
            </w:r>
          </w:p>
        </w:tc>
        <w:tc>
          <w:tcPr>
            <w:tcW w:w="210" w:type="dxa"/>
            <w:vAlign w:val="bottom"/>
            <w:tcBorders>
              <w:bottom w:val="single" w:sz="8" w:color="auto"/>
            </w:tcBorders>
            <w:shd w:val="clear" w:color="auto" w:fill="DDDDDD"/>
          </w:tcPr>
          <w:p>
            <w:pPr>
              <w:ind w:left="10"/>
              <w:spacing w:after="0" w:line="193" w:lineRule="exact"/>
              <w:rPr>
                <w:sz w:val="20"/>
                <w:szCs w:val="20"/>
                <w:color w:val="auto"/>
              </w:rPr>
            </w:pPr>
            <w:r>
              <w:rPr>
                <w:rFonts w:ascii="Times New Roman" w:cs="Times New Roman" w:eastAsia="Times New Roman" w:hAnsi="Times New Roman"/>
                <w:sz w:val="18"/>
                <w:szCs w:val="18"/>
                <w:color w:val="auto"/>
                <w:highlight w:val="lightGray"/>
                <w:w w:val="85"/>
              </w:rPr>
              <w:t>)%</w:t>
            </w:r>
          </w:p>
        </w:tc>
      </w:tr>
      <w:tr>
        <w:trPr>
          <w:trHeight w:val="232"/>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(1,309 )</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(29.1 )%</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5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9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172.2 %</w:t>
            </w:r>
          </w:p>
        </w:tc>
      </w:tr>
      <w:tr>
        <w:trPr>
          <w:trHeight w:val="20"/>
        </w:trPr>
        <w:tc>
          <w:tcPr>
            <w:tcW w:w="5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30" w:type="dxa"/>
            <w:vAlign w:val="bottom"/>
            <w:tcBorders>
              <w:bottom w:val="single" w:sz="8" w:color="auto"/>
            </w:tcBorders>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50" w:type="dxa"/>
            <w:vAlign w:val="bottom"/>
            <w:tcBorders>
              <w:bottom w:val="single" w:sz="8" w:color="auto"/>
            </w:tcBorders>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50" w:type="dxa"/>
            <w:vAlign w:val="bottom"/>
            <w:tcBorders>
              <w:bottom w:val="single" w:sz="8" w:color="auto"/>
            </w:tcBorders>
          </w:tcPr>
          <w:p>
            <w:pPr>
              <w:spacing w:after="0" w:line="20" w:lineRule="exact"/>
              <w:rPr>
                <w:sz w:val="1"/>
                <w:szCs w:val="1"/>
                <w:color w:val="auto"/>
              </w:rPr>
            </w:pPr>
          </w:p>
        </w:tc>
        <w:tc>
          <w:tcPr>
            <w:tcW w:w="21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-1844040</wp:posOffset>
                </wp:positionV>
                <wp:extent cx="6858000"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45.1999pt" to="540.2pt,-145.19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-1285875</wp:posOffset>
                </wp:positionV>
                <wp:extent cx="6858000"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01.2499pt" to="540.2pt,-101.2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-173990</wp:posOffset>
                </wp:positionV>
                <wp:extent cx="6858000"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3.6999pt" to="540.2pt,-13.6999pt" o:allowincell="f" strokecolor="#FFFFFF" strokeweight="0.14pt"/>
            </w:pict>
          </mc:Fallback>
        </mc:AlternateContent>
      </w:r>
    </w:p>
    <w:p>
      <w:pPr>
        <w:spacing w:after="0" w:line="173" w:lineRule="exact"/>
        <w:rPr>
          <w:sz w:val="20"/>
          <w:szCs w:val="20"/>
          <w:color w:val="auto"/>
        </w:rPr>
      </w:pPr>
    </w:p>
    <w:p>
      <w:pPr>
        <w:ind w:left="360" w:hanging="350"/>
        <w:spacing w:after="0"/>
        <w:tabs>
          <w:tab w:leader="none" w:pos="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taxes in Florida make up the entirety of the tax effect in this category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6" w:lineRule="exact"/>
        <w:rPr>
          <w:rFonts w:ascii="Times New Roman" w:cs="Times New Roman" w:eastAsia="Times New Roman" w:hAnsi="Times New Roman"/>
          <w:sz w:val="18"/>
          <w:szCs w:val="18"/>
          <w:color w:val="auto"/>
        </w:rPr>
      </w:pPr>
    </w:p>
    <w:p>
      <w:pPr>
        <w:ind w:left="5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69</w:t>
      </w:r>
    </w:p>
    <w:p>
      <w:pPr>
        <w:sectPr>
          <w:pgSz w:w="12240" w:h="15840" w:orient="portrait"/>
          <w:cols w:equalWidth="0" w:num="1">
            <w:col w:w="10800"/>
          </w:cols>
          <w:pgMar w:left="720" w:top="785" w:right="720" w:bottom="135"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color w:val="auto"/>
        </w:rPr>
        <w:t>Deferred Tax Assets and Liabilities</w:t>
      </w:r>
    </w:p>
    <w:p>
      <w:pPr>
        <w:spacing w:after="0" w:line="235" w:lineRule="exact"/>
        <w:rPr>
          <w:sz w:val="20"/>
          <w:szCs w:val="20"/>
          <w:color w:val="auto"/>
        </w:rPr>
      </w:pPr>
    </w:p>
    <w:p>
      <w:pPr>
        <w:ind w:right="160" w:firstLine="360"/>
        <w:spacing w:after="0" w:line="277" w:lineRule="auto"/>
        <w:rPr>
          <w:sz w:val="20"/>
          <w:szCs w:val="20"/>
          <w:color w:val="auto"/>
        </w:rPr>
      </w:pPr>
      <w:r>
        <w:rPr>
          <w:rFonts w:ascii="Times New Roman" w:cs="Times New Roman" w:eastAsia="Times New Roman" w:hAnsi="Times New Roman"/>
          <w:sz w:val="20"/>
          <w:szCs w:val="20"/>
          <w:color w:val="auto"/>
        </w:rPr>
        <w:t>The components of the deferred tax assets and liabilities reflected in the Consolidated Balance Sheets at December 31, 2025 and 2024 include the following: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23495</wp:posOffset>
                </wp:positionV>
                <wp:extent cx="6858000"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85pt" to="540.2pt,1.85pt" o:allowincell="f" strokecolor="#FFFFFF" strokeweight="0.14pt"/>
            </w:pict>
          </mc:Fallback>
        </mc:AlternateConten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6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r>
      <w:tr>
        <w:trPr>
          <w:trHeight w:val="187"/>
        </w:trPr>
        <w:tc>
          <w:tcPr>
            <w:tcW w:w="7560" w:type="dxa"/>
            <w:vAlign w:val="bottom"/>
            <w:tcBorders>
              <w:top w:val="single" w:sz="8" w:color="DDDDDD"/>
            </w:tcBorders>
            <w:shd w:val="clear" w:color="auto" w:fill="DDDDDD"/>
          </w:tcPr>
          <w:p>
            <w:pPr>
              <w:spacing w:after="0" w:line="187" w:lineRule="exact"/>
              <w:rPr>
                <w:sz w:val="20"/>
                <w:szCs w:val="20"/>
                <w:color w:val="auto"/>
              </w:rPr>
            </w:pPr>
            <w:r>
              <w:rPr>
                <w:rFonts w:ascii="Times New Roman" w:cs="Times New Roman" w:eastAsia="Times New Roman" w:hAnsi="Times New Roman"/>
                <w:sz w:val="18"/>
                <w:szCs w:val="18"/>
                <w:b w:val="1"/>
                <w:bCs w:val="1"/>
                <w:color w:val="auto"/>
              </w:rPr>
              <w:t>Deferred tax assets:</w:t>
            </w:r>
          </w:p>
        </w:tc>
        <w:tc>
          <w:tcPr>
            <w:tcW w:w="220" w:type="dxa"/>
            <w:vAlign w:val="bottom"/>
            <w:tcBorders>
              <w:top w:val="single" w:sz="8" w:color="DDDDDD"/>
            </w:tcBorders>
            <w:shd w:val="clear" w:color="auto" w:fill="DDDDDD"/>
          </w:tcPr>
          <w:p>
            <w:pPr>
              <w:spacing w:after="0"/>
              <w:rPr>
                <w:sz w:val="16"/>
                <w:szCs w:val="16"/>
                <w:color w:val="auto"/>
              </w:rPr>
            </w:pPr>
          </w:p>
        </w:tc>
        <w:tc>
          <w:tcPr>
            <w:tcW w:w="130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220" w:type="dxa"/>
            <w:vAlign w:val="bottom"/>
            <w:tcBorders>
              <w:top w:val="single" w:sz="8" w:color="DDDDDD"/>
            </w:tcBorders>
            <w:shd w:val="clear" w:color="auto" w:fill="DDDDDD"/>
          </w:tcPr>
          <w:p>
            <w:pPr>
              <w:spacing w:after="0"/>
              <w:rPr>
                <w:sz w:val="16"/>
                <w:szCs w:val="16"/>
                <w:color w:val="auto"/>
              </w:rPr>
            </w:pPr>
          </w:p>
        </w:tc>
        <w:tc>
          <w:tcPr>
            <w:tcW w:w="130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20" w:type="dxa"/>
            <w:vAlign w:val="bottom"/>
            <w:tcBorders>
              <w:top w:val="single" w:sz="8" w:color="auto"/>
            </w:tcBorders>
            <w:shd w:val="clear" w:color="auto" w:fill="DDDDDD"/>
          </w:tcPr>
          <w:p>
            <w:pPr>
              <w:spacing w:after="0"/>
              <w:rPr>
                <w:sz w:val="16"/>
                <w:szCs w:val="16"/>
                <w:color w:val="auto"/>
              </w:rPr>
            </w:pPr>
          </w:p>
        </w:tc>
      </w:tr>
      <w:tr>
        <w:trPr>
          <w:trHeight w:val="217"/>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52,504</w:t>
            </w:r>
          </w:p>
        </w:tc>
        <w:tc>
          <w:tcPr>
            <w:tcW w:w="1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756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18"/>
                <w:szCs w:val="18"/>
                <w:color w:val="auto"/>
              </w:rPr>
              <w:t>Orchid Island Capital, Inc. common stock</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MBS unrealized losses and gains, net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756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18"/>
                <w:szCs w:val="18"/>
                <w:color w:val="auto"/>
              </w:rPr>
              <w:t>Capital loss carryforwards</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17"/>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 agreement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7560" w:type="dxa"/>
            <w:vAlign w:val="bottom"/>
            <w:tcBorders>
              <w:bottom w:val="single" w:sz="8" w:color="auto"/>
            </w:tcBorders>
            <w:shd w:val="clear" w:color="auto" w:fill="DDDDDD"/>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auto"/>
            </w:tcBorders>
            <w:shd w:val="clear" w:color="auto" w:fill="DDDDDD"/>
          </w:tcPr>
          <w:p>
            <w:pPr>
              <w:spacing w:after="0"/>
              <w:rPr>
                <w:sz w:val="18"/>
                <w:szCs w:val="18"/>
                <w:color w:val="auto"/>
              </w:rPr>
            </w:pPr>
          </w:p>
        </w:tc>
        <w:tc>
          <w:tcPr>
            <w:tcW w:w="22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auto"/>
            </w:tcBorders>
            <w:shd w:val="clear" w:color="auto" w:fill="DDDDDD"/>
          </w:tcPr>
          <w:p>
            <w:pPr>
              <w:spacing w:after="0"/>
              <w:rPr>
                <w:sz w:val="18"/>
                <w:szCs w:val="18"/>
                <w:color w:val="auto"/>
              </w:rPr>
            </w:pPr>
          </w:p>
        </w:tc>
        <w:tc>
          <w:tcPr>
            <w:tcW w:w="20" w:type="dxa"/>
            <w:vAlign w:val="bottom"/>
            <w:tcBorders>
              <w:bottom w:val="single" w:sz="8" w:color="auto"/>
            </w:tcBorders>
            <w:shd w:val="clear" w:color="auto" w:fill="DDDDDD"/>
          </w:tcPr>
          <w:p>
            <w:pPr>
              <w:spacing w:after="0"/>
              <w:rPr>
                <w:sz w:val="18"/>
                <w:szCs w:val="18"/>
                <w:color w:val="auto"/>
              </w:rPr>
            </w:pPr>
          </w:p>
        </w:tc>
      </w:tr>
      <w:tr>
        <w:trPr>
          <w:trHeight w:val="212"/>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756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(42,200</w:t>
            </w: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(45,911</w:t>
            </w: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0" w:type="dxa"/>
            <w:vAlign w:val="bottom"/>
            <w:tcBorders>
              <w:bottom w:val="single" w:sz="8" w:color="auto"/>
            </w:tcBorders>
            <w:shd w:val="clear" w:color="auto" w:fill="DDDDDD"/>
          </w:tcPr>
          <w:p>
            <w:pPr>
              <w:spacing w:after="0"/>
              <w:rPr>
                <w:sz w:val="18"/>
                <w:szCs w:val="18"/>
                <w:color w:val="auto"/>
              </w:rPr>
            </w:pPr>
          </w:p>
        </w:tc>
      </w:tr>
      <w:tr>
        <w:trPr>
          <w:trHeight w:val="215"/>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17,573</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16,577</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7"/>
        </w:trPr>
        <w:tc>
          <w:tcPr>
            <w:tcW w:w="756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13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13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r>
      <w:tr>
        <w:trPr>
          <w:trHeight w:val="217"/>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56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18"/>
                <w:szCs w:val="18"/>
                <w:color w:val="auto"/>
              </w:rPr>
              <w:t>MBS unrealized losses and gains, net</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46"/>
        </w:trPr>
        <w:tc>
          <w:tcPr>
            <w:tcW w:w="75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Tax hedging arrangements</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(646 )</w:t>
            </w:r>
          </w:p>
        </w:tc>
        <w:tc>
          <w:tcPr>
            <w:tcW w:w="20" w:type="dxa"/>
            <w:vAlign w:val="bottom"/>
            <w:tcBorders>
              <w:bottom w:val="single" w:sz="8" w:color="auto"/>
            </w:tcBorders>
          </w:tcPr>
          <w:p>
            <w:pPr>
              <w:spacing w:after="0"/>
              <w:rPr>
                <w:sz w:val="20"/>
                <w:szCs w:val="20"/>
                <w:color w:val="auto"/>
              </w:rPr>
            </w:pPr>
          </w:p>
        </w:tc>
      </w:tr>
      <w:tr>
        <w:trPr>
          <w:trHeight w:val="185"/>
        </w:trPr>
        <w:tc>
          <w:tcPr>
            <w:tcW w:w="7560" w:type="dxa"/>
            <w:vAlign w:val="bottom"/>
            <w:tcBorders>
              <w:top w:val="single" w:sz="8" w:color="DDDDDD"/>
              <w:bottom w:val="single" w:sz="8" w:color="auto"/>
            </w:tcBorders>
            <w:shd w:val="clear" w:color="auto" w:fill="DDDDDD"/>
          </w:tcPr>
          <w:p>
            <w:pPr>
              <w:spacing w:after="0" w:line="185" w:lineRule="exact"/>
              <w:rPr>
                <w:sz w:val="20"/>
                <w:szCs w:val="20"/>
                <w:color w:val="auto"/>
              </w:rPr>
            </w:pPr>
            <w:r>
              <w:rPr>
                <w:rFonts w:ascii="Times New Roman" w:cs="Times New Roman" w:eastAsia="Times New Roman" w:hAnsi="Times New Roman"/>
                <w:sz w:val="18"/>
                <w:szCs w:val="18"/>
                <w:color w:val="auto"/>
              </w:rPr>
              <w:t>Gross deferred tax liabilities</w:t>
            </w:r>
          </w:p>
        </w:tc>
        <w:tc>
          <w:tcPr>
            <w:tcW w:w="220" w:type="dxa"/>
            <w:vAlign w:val="bottom"/>
            <w:tcBorders>
              <w:top w:val="single" w:sz="8" w:color="DDDDDD"/>
              <w:bottom w:val="single" w:sz="8" w:color="auto"/>
            </w:tcBorders>
            <w:shd w:val="clear" w:color="auto" w:fill="DDDDDD"/>
          </w:tcPr>
          <w:p>
            <w:pPr>
              <w:spacing w:after="0"/>
              <w:rPr>
                <w:sz w:val="16"/>
                <w:szCs w:val="16"/>
                <w:color w:val="auto"/>
              </w:rPr>
            </w:pPr>
          </w:p>
        </w:tc>
        <w:tc>
          <w:tcPr>
            <w:tcW w:w="1300" w:type="dxa"/>
            <w:vAlign w:val="bottom"/>
            <w:tcBorders>
              <w:top w:val="single" w:sz="8" w:color="DDDDDD"/>
              <w:bottom w:val="single" w:sz="8" w:color="auto"/>
            </w:tcBorders>
            <w:shd w:val="clear" w:color="auto" w:fill="DDDDDD"/>
          </w:tcPr>
          <w:p>
            <w:pPr>
              <w:jc w:val="right"/>
              <w:spacing w:after="0" w:line="185" w:lineRule="exact"/>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tcBorders>
              <w:top w:val="single" w:sz="8" w:color="DDDDDD"/>
              <w:bottom w:val="single" w:sz="8" w:color="auto"/>
            </w:tcBorders>
            <w:shd w:val="clear" w:color="auto" w:fill="DDDDDD"/>
          </w:tcPr>
          <w:p>
            <w:pPr>
              <w:spacing w:after="0"/>
              <w:rPr>
                <w:sz w:val="16"/>
                <w:szCs w:val="16"/>
                <w:color w:val="auto"/>
              </w:rPr>
            </w:pPr>
          </w:p>
        </w:tc>
        <w:tc>
          <w:tcPr>
            <w:tcW w:w="1300" w:type="dxa"/>
            <w:vAlign w:val="bottom"/>
            <w:tcBorders>
              <w:top w:val="single" w:sz="8" w:color="DDDDDD"/>
              <w:bottom w:val="single" w:sz="8" w:color="auto"/>
            </w:tcBorders>
            <w:shd w:val="clear" w:color="auto" w:fill="DDDDDD"/>
          </w:tcPr>
          <w:p>
            <w:pPr>
              <w:jc w:val="right"/>
              <w:spacing w:after="0" w:line="185" w:lineRule="exact"/>
              <w:rPr>
                <w:sz w:val="20"/>
                <w:szCs w:val="20"/>
                <w:color w:val="auto"/>
              </w:rPr>
            </w:pPr>
            <w:r>
              <w:rPr>
                <w:rFonts w:ascii="Times New Roman" w:cs="Times New Roman" w:eastAsia="Times New Roman" w:hAnsi="Times New Roman"/>
                <w:sz w:val="18"/>
                <w:szCs w:val="18"/>
                <w:color w:val="auto"/>
              </w:rPr>
              <w:t>(646</w:t>
            </w:r>
          </w:p>
        </w:tc>
        <w:tc>
          <w:tcPr>
            <w:tcW w:w="10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0" w:type="dxa"/>
            <w:vAlign w:val="bottom"/>
            <w:tcBorders>
              <w:top w:val="single" w:sz="8" w:color="auto"/>
              <w:bottom w:val="single" w:sz="8" w:color="auto"/>
            </w:tcBorders>
            <w:shd w:val="clear" w:color="auto" w:fill="DDDDDD"/>
          </w:tcPr>
          <w:p>
            <w:pPr>
              <w:spacing w:after="0"/>
              <w:rPr>
                <w:sz w:val="16"/>
                <w:szCs w:val="16"/>
                <w:color w:val="auto"/>
              </w:rPr>
            </w:pPr>
          </w:p>
        </w:tc>
      </w:tr>
      <w:tr>
        <w:trPr>
          <w:trHeight w:val="230"/>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17,240</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15,931</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0"/>
        </w:trPr>
        <w:tc>
          <w:tcPr>
            <w:tcW w:w="7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-1309370</wp:posOffset>
                </wp:positionV>
                <wp:extent cx="6858000"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03.0999pt" to="540.2pt,-103.0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-1024890</wp:posOffset>
                </wp:positionV>
                <wp:extent cx="6858000"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80.6999pt" to="540.2pt,-80.69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-173990</wp:posOffset>
                </wp:positionV>
                <wp:extent cx="6858000"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3.6999pt" to="540.2pt,-13.6999pt" o:allowincell="f" strokecolor="#FFFFFF" strokeweight="0.1399pt"/>
            </w:pict>
          </mc:Fallback>
        </mc:AlternateContent>
      </w:r>
    </w:p>
    <w:p>
      <w:pPr>
        <w:spacing w:after="0" w:line="190" w:lineRule="exact"/>
        <w:rPr>
          <w:sz w:val="20"/>
          <w:szCs w:val="20"/>
          <w:color w:val="auto"/>
        </w:rPr>
      </w:pPr>
    </w:p>
    <w:p>
      <w:pPr>
        <w:ind w:right="40" w:firstLine="360"/>
        <w:spacing w:after="0" w:line="242" w:lineRule="auto"/>
        <w:rPr>
          <w:sz w:val="20"/>
          <w:szCs w:val="20"/>
          <w:color w:val="auto"/>
        </w:rPr>
      </w:pPr>
      <w:r>
        <w:rPr>
          <w:rFonts w:ascii="Times New Roman" w:cs="Times New Roman" w:eastAsia="Times New Roman" w:hAnsi="Times New Roman"/>
          <w:sz w:val="20"/>
          <w:szCs w:val="20"/>
          <w:color w:val="auto"/>
        </w:rPr>
        <w:t>In assessing the realizability of deferred tax assets, management considers both positive and negative evidence whether it is more likely than not that some portion or all of the deferred tax assets will not be realized. The ultimate realization of capital loss and NOL carryforwards is dependent upon the generation of future capital gains and taxable income in periods prior to their expiration. As of December 31, 2025, the valuation allowance recognized against the deferred tax asset is based on management’s estimated projections of future taxable income, and the projected ability to utilize the NOL carryforwards to offset that projected taxable income before the net operating loss carryforwards ("NOLs") expire. Utilization of the NOLs is based on these estimates and the assumptions that management will be able to reinvest retained earnings in order to grow the MBS portfolio going forward and that market value will not be eroded due to adverse market conditions or hedging inefficiencies. With respect to the taxable income projections, management estimates the dividends expected to be received on its Orchid share holdings as well as the management fees and overhead sharing payments it will receive from Orchid. With respect to the MBS portfolio, management makes estimates of various metrics such as the yields on the assets it plans to acquire, its future funding and interest costs, future prepayment speeds and net interest margin, among others. Estimates were also made for other assets and expenses. Changes in the taxable income projections have a direct impact on the amount of the valuation allowance, and the impact in any reporting period may be significant. These estimates and assumptions may change from year to year to the extent Orchid’s book value changes, thus changing projected management fees and overhead sharing payments, and/or market conditions, including changes in interest rates, such that estimates with respect to the portfolio metrics warrant revisions.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Loss Carryforwards</w:t>
      </w:r>
    </w:p>
    <w:p>
      <w:pPr>
        <w:spacing w:after="0" w:line="235" w:lineRule="exact"/>
        <w:rPr>
          <w:sz w:val="20"/>
          <w:szCs w:val="20"/>
          <w:color w:val="auto"/>
        </w:rPr>
      </w:pPr>
    </w:p>
    <w:p>
      <w:pPr>
        <w:ind w:left="160" w:right="220" w:firstLine="180"/>
        <w:spacing w:after="0" w:line="277" w:lineRule="auto"/>
        <w:rPr>
          <w:sz w:val="20"/>
          <w:szCs w:val="20"/>
          <w:color w:val="auto"/>
        </w:rPr>
      </w:pPr>
      <w:r>
        <w:rPr>
          <w:rFonts w:ascii="Times New Roman" w:cs="Times New Roman" w:eastAsia="Times New Roman" w:hAnsi="Times New Roman"/>
          <w:sz w:val="20"/>
          <w:szCs w:val="20"/>
          <w:color w:val="auto"/>
        </w:rPr>
        <w:t>The following table provides our net operating loss carryforwards and capital loss carryforwards, related deferred tax assets and any corresponding valuation allowances as of December 31, 2025 and 2024: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0"/>
                <w:szCs w:val="20"/>
                <w:color w:val="auto"/>
              </w:rPr>
            </w:pPr>
          </w:p>
        </w:tc>
        <w:tc>
          <w:tcPr>
            <w:tcW w:w="130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560" w:type="dxa"/>
            <w:vAlign w:val="bottom"/>
            <w:tcBorders>
              <w:top w:val="single" w:sz="8" w:color="DDDDDD"/>
            </w:tcBorders>
            <w:shd w:val="clear" w:color="auto" w:fill="DDDDDD"/>
          </w:tcPr>
          <w:p>
            <w:pPr>
              <w:spacing w:after="0" w:line="187" w:lineRule="exact"/>
              <w:rPr>
                <w:sz w:val="20"/>
                <w:szCs w:val="20"/>
                <w:color w:val="auto"/>
              </w:rPr>
            </w:pPr>
            <w:r>
              <w:rPr>
                <w:rFonts w:ascii="Times New Roman" w:cs="Times New Roman" w:eastAsia="Times New Roman" w:hAnsi="Times New Roman"/>
                <w:sz w:val="18"/>
                <w:szCs w:val="18"/>
                <w:b w:val="1"/>
                <w:bCs w:val="1"/>
                <w:color w:val="auto"/>
              </w:rPr>
              <w:t>Federal:</w:t>
            </w:r>
          </w:p>
        </w:tc>
        <w:tc>
          <w:tcPr>
            <w:tcW w:w="220" w:type="dxa"/>
            <w:vAlign w:val="bottom"/>
            <w:tcBorders>
              <w:top w:val="single" w:sz="8" w:color="DDDDDD"/>
            </w:tcBorders>
            <w:shd w:val="clear" w:color="auto" w:fill="DDDDDD"/>
          </w:tcPr>
          <w:p>
            <w:pPr>
              <w:spacing w:after="0"/>
              <w:rPr>
                <w:sz w:val="16"/>
                <w:szCs w:val="16"/>
                <w:color w:val="auto"/>
              </w:rPr>
            </w:pPr>
          </w:p>
        </w:tc>
        <w:tc>
          <w:tcPr>
            <w:tcW w:w="130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220" w:type="dxa"/>
            <w:vAlign w:val="bottom"/>
            <w:tcBorders>
              <w:top w:val="single" w:sz="8" w:color="DDDDDD"/>
            </w:tcBorders>
            <w:shd w:val="clear" w:color="auto" w:fill="DDDDDD"/>
          </w:tcPr>
          <w:p>
            <w:pPr>
              <w:spacing w:after="0"/>
              <w:rPr>
                <w:sz w:val="16"/>
                <w:szCs w:val="16"/>
                <w:color w:val="auto"/>
              </w:rPr>
            </w:pPr>
          </w:p>
        </w:tc>
        <w:tc>
          <w:tcPr>
            <w:tcW w:w="130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20" w:type="dxa"/>
            <w:vAlign w:val="bottom"/>
            <w:tcBorders>
              <w:top w:val="single" w:sz="8" w:color="auto"/>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 (expires beginning 2026)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245,762</w:t>
            </w:r>
          </w:p>
        </w:tc>
        <w:tc>
          <w:tcPr>
            <w:tcW w:w="1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6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18"/>
                <w:szCs w:val="18"/>
                <w:color w:val="auto"/>
              </w:rPr>
              <w:t>Related deferred tax asset</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51,610</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53,326</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State:</w:t>
            </w:r>
          </w:p>
        </w:tc>
        <w:tc>
          <w:tcPr>
            <w:tcW w:w="220" w:type="dxa"/>
            <w:vAlign w:val="bottom"/>
            <w:shd w:val="clear" w:color="auto" w:fill="DDDDDD"/>
          </w:tcPr>
          <w:p>
            <w:pPr>
              <w:spacing w:after="0"/>
              <w:rPr>
                <w:sz w:val="19"/>
                <w:szCs w:val="19"/>
                <w:color w:val="auto"/>
              </w:rPr>
            </w:pPr>
          </w:p>
        </w:tc>
        <w:tc>
          <w:tcPr>
            <w:tcW w:w="13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3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 (expires beginning 2028)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20,564</w:t>
            </w:r>
          </w:p>
        </w:tc>
        <w:tc>
          <w:tcPr>
            <w:tcW w:w="1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6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18"/>
                <w:szCs w:val="18"/>
                <w:color w:val="auto"/>
              </w:rPr>
              <w:t>Related deferred tax asset</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-563880</wp:posOffset>
                </wp:positionV>
                <wp:extent cx="6858000"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44.3999pt" to="540.2pt,-44.39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-11430</wp:posOffset>
                </wp:positionV>
                <wp:extent cx="6858000"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5334">
                          <a:solidFill>
                            <a:srgbClr val="FFFFFF"/>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0.8999pt" to="540.2pt,-0.8999pt" o:allowincell="f" strokecolor="#FFFFFF" strokeweight="0.4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800"/>
          </w:cols>
          <w:pgMar w:left="720" w:top="781" w:right="720" w:bottom="135"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0"/>
          <w:szCs w:val="20"/>
          <w:b w:val="1"/>
          <w:bCs w:val="1"/>
          <w:color w:val="auto"/>
        </w:rPr>
        <w:t>Income Taxes Paid</w:t>
      </w:r>
    </w:p>
    <w:p>
      <w:pPr>
        <w:spacing w:after="0" w:line="2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During the years ended December 31, 2025 and 2024, the Company did not have any income taxes paid (or refunds received).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Unrecognized Tax Benefits</w:t>
      </w:r>
    </w:p>
    <w:p>
      <w:pPr>
        <w:spacing w:after="0" w:line="234" w:lineRule="exact"/>
        <w:rPr>
          <w:sz w:val="20"/>
          <w:szCs w:val="20"/>
          <w:color w:val="auto"/>
        </w:rPr>
      </w:pPr>
    </w:p>
    <w:p>
      <w:pPr>
        <w:ind w:right="340" w:firstLine="360"/>
        <w:spacing w:after="0" w:line="252" w:lineRule="auto"/>
        <w:rPr>
          <w:sz w:val="20"/>
          <w:szCs w:val="20"/>
          <w:color w:val="auto"/>
        </w:rPr>
      </w:pPr>
      <w:r>
        <w:rPr>
          <w:rFonts w:ascii="Times New Roman" w:cs="Times New Roman" w:eastAsia="Times New Roman" w:hAnsi="Times New Roman"/>
          <w:sz w:val="20"/>
          <w:szCs w:val="20"/>
          <w:color w:val="auto"/>
        </w:rPr>
        <w:t>The Company has not identified any unrecognized tax benefits that would result in liabilities in its consolidated financial statements. The Company has not had any settlements in the current period with taxing authorities and is not currently under audit. Additionally, no tax benefits have been recognized in the consolidated financial statements as a result of a lapse of the applicable statute of limitations.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EARNINGS PER SHARE</w:t>
      </w:r>
    </w:p>
    <w:p>
      <w:pPr>
        <w:spacing w:after="0" w:line="235" w:lineRule="exact"/>
        <w:rPr>
          <w:sz w:val="20"/>
          <w:szCs w:val="20"/>
          <w:color w:val="auto"/>
        </w:rPr>
      </w:pPr>
    </w:p>
    <w:p>
      <w:pPr>
        <w:ind w:right="40" w:firstLine="360"/>
        <w:spacing w:after="0" w:line="249" w:lineRule="auto"/>
        <w:rPr>
          <w:sz w:val="20"/>
          <w:szCs w:val="20"/>
          <w:color w:val="auto"/>
        </w:rPr>
      </w:pPr>
      <w:r>
        <w:rPr>
          <w:rFonts w:ascii="Times New Roman" w:cs="Times New Roman" w:eastAsia="Times New Roman" w:hAnsi="Times New Roman"/>
          <w:sz w:val="20"/>
          <w:szCs w:val="20"/>
          <w:color w:val="auto"/>
        </w:rPr>
        <w:t>Shares of Class B common stock, participating and convertible into Class A common stock, are entitled to receive dividends in an amount equal to the dividends declared on each share of Class A common stock if, and when, authorized and declared by the Board of Directors. The Class B common stock is included in the computation of basic EPS using the two-class method, and consequently is presented separately from Class A common stock. Shares of Class B common stock are not included in the computation of diluted Class A EPS as the conditions for conversion to Class A common stock were not met as of December 31, 2025 and 2024.</w:t>
      </w:r>
    </w:p>
    <w:p>
      <w:pPr>
        <w:spacing w:after="0" w:line="187" w:lineRule="exact"/>
        <w:rPr>
          <w:sz w:val="20"/>
          <w:szCs w:val="20"/>
          <w:color w:val="auto"/>
        </w:rPr>
      </w:pPr>
    </w:p>
    <w:p>
      <w:pPr>
        <w:ind w:right="220" w:firstLine="360"/>
        <w:spacing w:after="0" w:line="258" w:lineRule="auto"/>
        <w:rPr>
          <w:sz w:val="20"/>
          <w:szCs w:val="20"/>
          <w:color w:val="auto"/>
        </w:rPr>
      </w:pPr>
      <w:r>
        <w:rPr>
          <w:rFonts w:ascii="Times New Roman" w:cs="Times New Roman" w:eastAsia="Times New Roman" w:hAnsi="Times New Roman"/>
          <w:sz w:val="20"/>
          <w:szCs w:val="20"/>
          <w:color w:val="auto"/>
        </w:rPr>
        <w:t>Shares of Class C common stock are not included in the basic EPS computation as these shares do not have participation rights. Shares of Class C common stock are not included in the computation of diluted Class A EPS as the conditions for conversion to Class A common stock were not met as of December 31, 2025 and 2024.</w:t>
      </w:r>
    </w:p>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table below reconciles the numerators and denominators of the basic and diluted EPS.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per-share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23495</wp:posOffset>
                </wp:positionV>
                <wp:extent cx="6858000"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85pt" to="540.2pt,1.85pt" o:allowincell="f" strokecolor="#FFFFFF" strokeweight="0.14pt"/>
            </w:pict>
          </mc:Fallback>
        </mc:AlternateConten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r>
      <w:tr>
        <w:trPr>
          <w:trHeight w:val="187"/>
        </w:trPr>
        <w:tc>
          <w:tcPr>
            <w:tcW w:w="7560" w:type="dxa"/>
            <w:vAlign w:val="bottom"/>
            <w:tcBorders>
              <w:top w:val="single" w:sz="8" w:color="DDDDDD"/>
            </w:tcBorders>
            <w:shd w:val="clear" w:color="auto" w:fill="DDDDDD"/>
          </w:tcPr>
          <w:p>
            <w:pPr>
              <w:spacing w:after="0" w:line="187" w:lineRule="exact"/>
              <w:rPr>
                <w:sz w:val="20"/>
                <w:szCs w:val="20"/>
                <w:color w:val="auto"/>
              </w:rPr>
            </w:pPr>
            <w:r>
              <w:rPr>
                <w:rFonts w:ascii="Times New Roman" w:cs="Times New Roman" w:eastAsia="Times New Roman" w:hAnsi="Times New Roman"/>
                <w:sz w:val="18"/>
                <w:szCs w:val="18"/>
                <w:b w:val="1"/>
                <w:bCs w:val="1"/>
                <w:color w:val="auto"/>
              </w:rPr>
              <w:t>Basic and diluted EPS per Class A common share:</w:t>
            </w:r>
          </w:p>
        </w:tc>
        <w:tc>
          <w:tcPr>
            <w:tcW w:w="1000" w:type="dxa"/>
            <w:vAlign w:val="bottom"/>
            <w:tcBorders>
              <w:top w:val="single" w:sz="8" w:color="DDDDDD"/>
            </w:tcBorders>
            <w:shd w:val="clear" w:color="auto" w:fill="DDDDDD"/>
          </w:tcPr>
          <w:p>
            <w:pPr>
              <w:spacing w:after="0"/>
              <w:rPr>
                <w:sz w:val="16"/>
                <w:szCs w:val="16"/>
                <w:color w:val="auto"/>
              </w:rPr>
            </w:pPr>
          </w:p>
        </w:tc>
        <w:tc>
          <w:tcPr>
            <w:tcW w:w="520" w:type="dxa"/>
            <w:vAlign w:val="bottom"/>
            <w:tcBorders>
              <w:top w:val="single" w:sz="8" w:color="DDDDDD"/>
            </w:tcBorders>
            <w:shd w:val="clear" w:color="auto" w:fill="DDDDDD"/>
          </w:tcPr>
          <w:p>
            <w:pPr>
              <w:spacing w:after="0"/>
              <w:rPr>
                <w:sz w:val="16"/>
                <w:szCs w:val="16"/>
                <w:color w:val="auto"/>
              </w:rPr>
            </w:pPr>
          </w:p>
        </w:tc>
        <w:tc>
          <w:tcPr>
            <w:tcW w:w="320" w:type="dxa"/>
            <w:vAlign w:val="bottom"/>
            <w:tcBorders>
              <w:top w:val="single" w:sz="8" w:color="DDDDDD"/>
            </w:tcBorders>
            <w:shd w:val="clear" w:color="auto" w:fill="DDDDDD"/>
          </w:tcPr>
          <w:p>
            <w:pPr>
              <w:spacing w:after="0"/>
              <w:rPr>
                <w:sz w:val="16"/>
                <w:szCs w:val="16"/>
                <w:color w:val="auto"/>
              </w:rPr>
            </w:pPr>
          </w:p>
        </w:tc>
        <w:tc>
          <w:tcPr>
            <w:tcW w:w="130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20" w:type="dxa"/>
            <w:vAlign w:val="bottom"/>
            <w:tcBorders>
              <w:top w:val="single" w:sz="8" w:color="auto"/>
            </w:tcBorders>
            <w:shd w:val="clear" w:color="auto" w:fill="DDDDDD"/>
          </w:tcPr>
          <w:p>
            <w:pPr>
              <w:spacing w:after="0"/>
              <w:rPr>
                <w:sz w:val="16"/>
                <w:szCs w:val="16"/>
                <w:color w:val="auto"/>
              </w:rPr>
            </w:pPr>
          </w:p>
        </w:tc>
      </w:tr>
      <w:tr>
        <w:trPr>
          <w:trHeight w:val="217"/>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attributable to Class A common shares:</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7560" w:type="dxa"/>
            <w:vAlign w:val="bottom"/>
            <w:shd w:val="clear" w:color="auto" w:fill="DDDDDD"/>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000" w:type="dxa"/>
            <w:vAlign w:val="bottom"/>
            <w:shd w:val="clear" w:color="auto" w:fill="DDDDDD"/>
          </w:tcPr>
          <w:p>
            <w:pPr>
              <w:jc w:val="right"/>
              <w:ind w:right="710"/>
              <w:spacing w:after="0"/>
              <w:rPr>
                <w:sz w:val="20"/>
                <w:szCs w:val="20"/>
                <w:color w:val="auto"/>
              </w:rPr>
            </w:pPr>
            <w:r>
              <w:rPr>
                <w:rFonts w:ascii="Times New Roman" w:cs="Times New Roman" w:eastAsia="Times New Roman" w:hAnsi="Times New Roman"/>
                <w:sz w:val="18"/>
                <w:szCs w:val="18"/>
                <w:color w:val="auto"/>
                <w:highlight w:val="lightGray"/>
              </w:rPr>
              <w:t>$</w:t>
            </w:r>
          </w:p>
        </w:tc>
        <w:tc>
          <w:tcPr>
            <w:tcW w:w="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0" w:type="dxa"/>
            <w:vAlign w:val="bottom"/>
            <w:shd w:val="clear" w:color="auto" w:fill="DDDDDD"/>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7560" w:type="dxa"/>
            <w:vAlign w:val="bottom"/>
            <w:shd w:val="clear" w:color="auto" w:fill="DDDDDD"/>
          </w:tcPr>
          <w:p>
            <w:pPr>
              <w:ind w:left="360"/>
              <w:spacing w:after="0"/>
              <w:rPr>
                <w:sz w:val="20"/>
                <w:szCs w:val="20"/>
                <w:color w:val="auto"/>
              </w:rPr>
            </w:pPr>
            <w:r>
              <w:rPr>
                <w:rFonts w:ascii="Times New Roman" w:cs="Times New Roman" w:eastAsia="Times New Roman" w:hAnsi="Times New Roman"/>
                <w:sz w:val="18"/>
                <w:szCs w:val="18"/>
                <w:color w:val="auto"/>
              </w:rPr>
              <w:t>Class A common shares outstanding at the balance sheet date</w:t>
            </w:r>
          </w:p>
        </w:tc>
        <w:tc>
          <w:tcPr>
            <w:tcW w:w="1000" w:type="dxa"/>
            <w:vAlign w:val="bottom"/>
            <w:shd w:val="clear" w:color="auto" w:fill="DDDDDD"/>
          </w:tcPr>
          <w:p>
            <w:pPr>
              <w:spacing w:after="0"/>
              <w:rPr>
                <w:sz w:val="18"/>
                <w:szCs w:val="18"/>
                <w:color w:val="auto"/>
              </w:rPr>
            </w:pPr>
          </w:p>
        </w:tc>
        <w:tc>
          <w:tcPr>
            <w:tcW w:w="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10,005</w:t>
            </w:r>
          </w:p>
        </w:tc>
        <w:tc>
          <w:tcPr>
            <w:tcW w:w="3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10,005</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42"/>
        </w:trPr>
        <w:tc>
          <w:tcPr>
            <w:tcW w:w="75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Effect of weighting</w:t>
            </w:r>
          </w:p>
        </w:tc>
        <w:tc>
          <w:tcPr>
            <w:tcW w:w="10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13"/>
        </w:trPr>
        <w:tc>
          <w:tcPr>
            <w:tcW w:w="7560" w:type="dxa"/>
            <w:vAlign w:val="bottom"/>
            <w:tcBorders>
              <w:top w:val="single" w:sz="8" w:color="DDDDDD"/>
              <w:bottom w:val="single" w:sz="8" w:color="DDDDDD"/>
            </w:tcBorders>
            <w:shd w:val="clear" w:color="auto" w:fill="DDDDDD"/>
          </w:tcPr>
          <w:p>
            <w:pPr>
              <w:spacing w:after="0" w:line="184" w:lineRule="exact"/>
              <w:rPr>
                <w:sz w:val="20"/>
                <w:szCs w:val="20"/>
                <w:color w:val="auto"/>
              </w:rPr>
            </w:pPr>
            <w:r>
              <w:rPr>
                <w:rFonts w:ascii="Times New Roman" w:cs="Times New Roman" w:eastAsia="Times New Roman" w:hAnsi="Times New Roman"/>
                <w:sz w:val="18"/>
                <w:szCs w:val="18"/>
                <w:color w:val="auto"/>
              </w:rPr>
              <w:t>Weighted average shares-basic and diluted</w:t>
            </w:r>
          </w:p>
        </w:tc>
        <w:tc>
          <w:tcPr>
            <w:tcW w:w="1000" w:type="dxa"/>
            <w:vAlign w:val="bottom"/>
            <w:tcBorders>
              <w:top w:val="single" w:sz="8" w:color="DDDDDD"/>
              <w:bottom w:val="single" w:sz="8" w:color="DDDDDD"/>
            </w:tcBorders>
            <w:shd w:val="clear" w:color="auto" w:fill="DDDDDD"/>
          </w:tcPr>
          <w:p>
            <w:pPr>
              <w:spacing w:after="0"/>
              <w:rPr>
                <w:sz w:val="18"/>
                <w:szCs w:val="18"/>
                <w:color w:val="auto"/>
              </w:rPr>
            </w:pPr>
          </w:p>
        </w:tc>
        <w:tc>
          <w:tcPr>
            <w:tcW w:w="520" w:type="dxa"/>
            <w:vAlign w:val="bottom"/>
            <w:tcBorders>
              <w:top w:val="single" w:sz="8" w:color="DDDDDD"/>
              <w:bottom w:val="single" w:sz="8" w:color="DDDDDD"/>
            </w:tcBorders>
            <w:shd w:val="clear" w:color="auto" w:fill="DDDDDD"/>
          </w:tcPr>
          <w:p>
            <w:pPr>
              <w:jc w:val="right"/>
              <w:spacing w:after="0" w:line="184" w:lineRule="exact"/>
              <w:rPr>
                <w:sz w:val="20"/>
                <w:szCs w:val="20"/>
                <w:color w:val="auto"/>
              </w:rPr>
            </w:pPr>
            <w:r>
              <w:rPr>
                <w:rFonts w:ascii="Times New Roman" w:cs="Times New Roman" w:eastAsia="Times New Roman" w:hAnsi="Times New Roman"/>
                <w:sz w:val="18"/>
                <w:szCs w:val="18"/>
                <w:color w:val="auto"/>
              </w:rPr>
              <w:t>10,005</w:t>
            </w:r>
          </w:p>
        </w:tc>
        <w:tc>
          <w:tcPr>
            <w:tcW w:w="320" w:type="dxa"/>
            <w:vAlign w:val="bottom"/>
            <w:tcBorders>
              <w:top w:val="single" w:sz="8" w:color="DDDDDD"/>
              <w:bottom w:val="single" w:sz="8" w:color="DDDDDD"/>
            </w:tcBorders>
            <w:shd w:val="clear" w:color="auto" w:fill="DDDDDD"/>
          </w:tcPr>
          <w:p>
            <w:pPr>
              <w:spacing w:after="0"/>
              <w:rPr>
                <w:sz w:val="18"/>
                <w:szCs w:val="18"/>
                <w:color w:val="auto"/>
              </w:rPr>
            </w:pPr>
          </w:p>
        </w:tc>
        <w:tc>
          <w:tcPr>
            <w:tcW w:w="1300" w:type="dxa"/>
            <w:vAlign w:val="bottom"/>
            <w:tcBorders>
              <w:top w:val="single" w:sz="8" w:color="DDDDDD"/>
              <w:bottom w:val="single" w:sz="8" w:color="DDDDDD"/>
            </w:tcBorders>
            <w:shd w:val="clear" w:color="auto" w:fill="DDDDDD"/>
          </w:tcPr>
          <w:p>
            <w:pPr>
              <w:jc w:val="right"/>
              <w:spacing w:after="0" w:line="184" w:lineRule="exact"/>
              <w:rPr>
                <w:sz w:val="20"/>
                <w:szCs w:val="20"/>
                <w:color w:val="auto"/>
              </w:rPr>
            </w:pPr>
            <w:r>
              <w:rPr>
                <w:rFonts w:ascii="Times New Roman" w:cs="Times New Roman" w:eastAsia="Times New Roman" w:hAnsi="Times New Roman"/>
                <w:sz w:val="18"/>
                <w:szCs w:val="18"/>
                <w:color w:val="auto"/>
              </w:rPr>
              <w:t>10,005</w:t>
            </w:r>
          </w:p>
        </w:tc>
        <w:tc>
          <w:tcPr>
            <w:tcW w:w="100" w:type="dxa"/>
            <w:vAlign w:val="bottom"/>
            <w:tcBorders>
              <w:top w:val="single" w:sz="8" w:color="DDDDDD"/>
              <w:bottom w:val="single" w:sz="8" w:color="DDDDDD"/>
            </w:tcBorders>
            <w:shd w:val="clear" w:color="auto" w:fill="DDDDDD"/>
          </w:tcPr>
          <w:p>
            <w:pPr>
              <w:spacing w:after="0"/>
              <w:rPr>
                <w:sz w:val="18"/>
                <w:szCs w:val="18"/>
                <w:color w:val="auto"/>
              </w:rPr>
            </w:pPr>
          </w:p>
        </w:tc>
        <w:tc>
          <w:tcPr>
            <w:tcW w:w="20" w:type="dxa"/>
            <w:vAlign w:val="bottom"/>
            <w:tcBorders>
              <w:top w:val="single" w:sz="8" w:color="auto"/>
              <w:bottom w:val="single" w:sz="8" w:color="DDDDDD"/>
            </w:tcBorders>
            <w:shd w:val="clear" w:color="auto" w:fill="DDDDDD"/>
          </w:tcPr>
          <w:p>
            <w:pPr>
              <w:spacing w:after="0"/>
              <w:rPr>
                <w:sz w:val="18"/>
                <w:szCs w:val="18"/>
                <w:color w:val="auto"/>
              </w:rPr>
            </w:pPr>
          </w:p>
        </w:tc>
      </w:tr>
      <w:tr>
        <w:trPr>
          <w:trHeight w:val="20"/>
        </w:trPr>
        <w:tc>
          <w:tcPr>
            <w:tcW w:w="7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5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Income (Loss) per Class A common share:</w:t>
            </w: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7"/>
        </w:trPr>
        <w:tc>
          <w:tcPr>
            <w:tcW w:w="7560" w:type="dxa"/>
            <w:vAlign w:val="bottom"/>
            <w:shd w:val="clear" w:color="auto" w:fill="DDDDDD"/>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000" w:type="dxa"/>
            <w:vAlign w:val="bottom"/>
            <w:shd w:val="clear" w:color="auto" w:fill="DDDDDD"/>
          </w:tcPr>
          <w:p>
            <w:pPr>
              <w:jc w:val="right"/>
              <w:ind w:right="710"/>
              <w:spacing w:after="0"/>
              <w:rPr>
                <w:sz w:val="20"/>
                <w:szCs w:val="20"/>
                <w:color w:val="auto"/>
              </w:rPr>
            </w:pPr>
            <w:r>
              <w:rPr>
                <w:rFonts w:ascii="Times New Roman" w:cs="Times New Roman" w:eastAsia="Times New Roman" w:hAnsi="Times New Roman"/>
                <w:sz w:val="18"/>
                <w:szCs w:val="18"/>
                <w:color w:val="auto"/>
                <w:highlight w:val="lightGray"/>
              </w:rPr>
              <w:t>$</w:t>
            </w:r>
          </w:p>
        </w:tc>
        <w:tc>
          <w:tcPr>
            <w:tcW w:w="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0" w:type="dxa"/>
            <w:vAlign w:val="bottom"/>
            <w:shd w:val="clear" w:color="auto" w:fill="DDDDDD"/>
          </w:tcPr>
          <w:p>
            <w:pPr>
              <w:spacing w:after="0"/>
              <w:rPr>
                <w:sz w:val="18"/>
                <w:szCs w:val="18"/>
                <w:color w:val="auto"/>
              </w:rPr>
            </w:pPr>
          </w:p>
        </w:tc>
      </w:tr>
      <w:tr>
        <w:trPr>
          <w:trHeight w:val="450"/>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per-share information)</w:t>
            </w:r>
          </w:p>
        </w:tc>
        <w:tc>
          <w:tcPr>
            <w:tcW w:w="10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35"/>
        </w:trPr>
        <w:tc>
          <w:tcPr>
            <w:tcW w:w="7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87"/>
        </w:trPr>
        <w:tc>
          <w:tcPr>
            <w:tcW w:w="7560" w:type="dxa"/>
            <w:vAlign w:val="bottom"/>
            <w:tcBorders>
              <w:top w:val="single" w:sz="8" w:color="DDDDDD"/>
            </w:tcBorders>
            <w:shd w:val="clear" w:color="auto" w:fill="DDDDDD"/>
          </w:tcPr>
          <w:p>
            <w:pPr>
              <w:spacing w:after="0" w:line="187" w:lineRule="exact"/>
              <w:rPr>
                <w:sz w:val="20"/>
                <w:szCs w:val="20"/>
                <w:color w:val="auto"/>
              </w:rPr>
            </w:pPr>
            <w:r>
              <w:rPr>
                <w:rFonts w:ascii="Times New Roman" w:cs="Times New Roman" w:eastAsia="Times New Roman" w:hAnsi="Times New Roman"/>
                <w:sz w:val="18"/>
                <w:szCs w:val="18"/>
                <w:b w:val="1"/>
                <w:bCs w:val="1"/>
                <w:color w:val="auto"/>
              </w:rPr>
              <w:t>Basic and diluted EPS per Class B common share:</w:t>
            </w:r>
          </w:p>
        </w:tc>
        <w:tc>
          <w:tcPr>
            <w:tcW w:w="1000" w:type="dxa"/>
            <w:vAlign w:val="bottom"/>
            <w:tcBorders>
              <w:top w:val="single" w:sz="8" w:color="DDDDDD"/>
            </w:tcBorders>
            <w:shd w:val="clear" w:color="auto" w:fill="DDDDDD"/>
          </w:tcPr>
          <w:p>
            <w:pPr>
              <w:spacing w:after="0"/>
              <w:rPr>
                <w:sz w:val="16"/>
                <w:szCs w:val="16"/>
                <w:color w:val="auto"/>
              </w:rPr>
            </w:pPr>
          </w:p>
        </w:tc>
        <w:tc>
          <w:tcPr>
            <w:tcW w:w="520" w:type="dxa"/>
            <w:vAlign w:val="bottom"/>
            <w:tcBorders>
              <w:top w:val="single" w:sz="8" w:color="DDDDDD"/>
            </w:tcBorders>
            <w:shd w:val="clear" w:color="auto" w:fill="DDDDDD"/>
          </w:tcPr>
          <w:p>
            <w:pPr>
              <w:spacing w:after="0"/>
              <w:rPr>
                <w:sz w:val="16"/>
                <w:szCs w:val="16"/>
                <w:color w:val="auto"/>
              </w:rPr>
            </w:pPr>
          </w:p>
        </w:tc>
        <w:tc>
          <w:tcPr>
            <w:tcW w:w="320" w:type="dxa"/>
            <w:vAlign w:val="bottom"/>
            <w:tcBorders>
              <w:top w:val="single" w:sz="8" w:color="DDDDDD"/>
            </w:tcBorders>
            <w:shd w:val="clear" w:color="auto" w:fill="DDDDDD"/>
          </w:tcPr>
          <w:p>
            <w:pPr>
              <w:spacing w:after="0"/>
              <w:rPr>
                <w:sz w:val="16"/>
                <w:szCs w:val="16"/>
                <w:color w:val="auto"/>
              </w:rPr>
            </w:pPr>
          </w:p>
        </w:tc>
        <w:tc>
          <w:tcPr>
            <w:tcW w:w="130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20" w:type="dxa"/>
            <w:vAlign w:val="bottom"/>
            <w:tcBorders>
              <w:top w:val="single" w:sz="8" w:color="auto"/>
            </w:tcBorders>
            <w:shd w:val="clear" w:color="auto" w:fill="DDDDDD"/>
          </w:tcPr>
          <w:p>
            <w:pPr>
              <w:spacing w:after="0"/>
              <w:rPr>
                <w:sz w:val="16"/>
                <w:szCs w:val="16"/>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attributable to Class B common shares:</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7560" w:type="dxa"/>
            <w:vAlign w:val="bottom"/>
            <w:shd w:val="clear" w:color="auto" w:fill="DDDDDD"/>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000" w:type="dxa"/>
            <w:vAlign w:val="bottom"/>
            <w:shd w:val="clear" w:color="auto" w:fill="DDDDDD"/>
          </w:tcPr>
          <w:p>
            <w:pPr>
              <w:jc w:val="right"/>
              <w:ind w:right="710"/>
              <w:spacing w:after="0"/>
              <w:rPr>
                <w:sz w:val="20"/>
                <w:szCs w:val="20"/>
                <w:color w:val="auto"/>
              </w:rPr>
            </w:pPr>
            <w:r>
              <w:rPr>
                <w:rFonts w:ascii="Times New Roman" w:cs="Times New Roman" w:eastAsia="Times New Roman" w:hAnsi="Times New Roman"/>
                <w:sz w:val="18"/>
                <w:szCs w:val="18"/>
                <w:color w:val="auto"/>
                <w:highlight w:val="lightGray"/>
              </w:rPr>
              <w:t>$</w:t>
            </w:r>
          </w:p>
        </w:tc>
        <w:tc>
          <w:tcPr>
            <w:tcW w:w="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0" w:type="dxa"/>
            <w:vAlign w:val="bottom"/>
            <w:shd w:val="clear" w:color="auto" w:fill="DDDDDD"/>
          </w:tcPr>
          <w:p>
            <w:pPr>
              <w:spacing w:after="0"/>
              <w:rPr>
                <w:sz w:val="18"/>
                <w:szCs w:val="18"/>
                <w:color w:val="auto"/>
              </w:rPr>
            </w:pPr>
          </w:p>
        </w:tc>
      </w:tr>
      <w:tr>
        <w:trPr>
          <w:trHeight w:val="215"/>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0"/>
        </w:trPr>
        <w:tc>
          <w:tcPr>
            <w:tcW w:w="7560" w:type="dxa"/>
            <w:vAlign w:val="bottom"/>
            <w:shd w:val="clear" w:color="auto" w:fill="DDDDDD"/>
          </w:tcPr>
          <w:p>
            <w:pPr>
              <w:ind w:left="360"/>
              <w:spacing w:after="0"/>
              <w:rPr>
                <w:sz w:val="20"/>
                <w:szCs w:val="20"/>
                <w:color w:val="auto"/>
              </w:rPr>
            </w:pPr>
            <w:r>
              <w:rPr>
                <w:rFonts w:ascii="Times New Roman" w:cs="Times New Roman" w:eastAsia="Times New Roman" w:hAnsi="Times New Roman"/>
                <w:sz w:val="18"/>
                <w:szCs w:val="18"/>
                <w:color w:val="auto"/>
              </w:rPr>
              <w:t>Class B common shares outstanding at the balance sheet date</w:t>
            </w:r>
          </w:p>
        </w:tc>
        <w:tc>
          <w:tcPr>
            <w:tcW w:w="1000" w:type="dxa"/>
            <w:vAlign w:val="bottom"/>
            <w:shd w:val="clear" w:color="auto" w:fill="DDDDDD"/>
          </w:tcPr>
          <w:p>
            <w:pPr>
              <w:spacing w:after="0"/>
              <w:rPr>
                <w:sz w:val="19"/>
                <w:szCs w:val="19"/>
                <w:color w:val="auto"/>
              </w:rPr>
            </w:pPr>
          </w:p>
        </w:tc>
        <w:tc>
          <w:tcPr>
            <w:tcW w:w="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shd w:val="clear" w:color="auto" w:fill="DDDDDD"/>
          </w:tcPr>
          <w:p>
            <w:pPr>
              <w:spacing w:after="0"/>
              <w:rPr>
                <w:sz w:val="19"/>
                <w:szCs w:val="19"/>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r>
      <w:tr>
        <w:trPr>
          <w:trHeight w:val="245"/>
        </w:trPr>
        <w:tc>
          <w:tcPr>
            <w:tcW w:w="75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Effect of weighting</w:t>
            </w:r>
          </w:p>
        </w:tc>
        <w:tc>
          <w:tcPr>
            <w:tcW w:w="10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09"/>
        </w:trPr>
        <w:tc>
          <w:tcPr>
            <w:tcW w:w="7560" w:type="dxa"/>
            <w:vAlign w:val="bottom"/>
            <w:tcBorders>
              <w:top w:val="single" w:sz="8" w:color="DDDDDD"/>
              <w:bottom w:val="single" w:sz="8" w:color="DDDDDD"/>
            </w:tcBorders>
            <w:shd w:val="clear" w:color="auto" w:fill="DDDDDD"/>
          </w:tcPr>
          <w:p>
            <w:pPr>
              <w:spacing w:after="0" w:line="181" w:lineRule="exact"/>
              <w:rPr>
                <w:sz w:val="20"/>
                <w:szCs w:val="20"/>
                <w:color w:val="auto"/>
              </w:rPr>
            </w:pPr>
            <w:r>
              <w:rPr>
                <w:rFonts w:ascii="Times New Roman" w:cs="Times New Roman" w:eastAsia="Times New Roman" w:hAnsi="Times New Roman"/>
                <w:sz w:val="18"/>
                <w:szCs w:val="18"/>
                <w:color w:val="auto"/>
              </w:rPr>
              <w:t>Weighted average shares-basic and diluted</w:t>
            </w:r>
          </w:p>
        </w:tc>
        <w:tc>
          <w:tcPr>
            <w:tcW w:w="1000" w:type="dxa"/>
            <w:vAlign w:val="bottom"/>
            <w:tcBorders>
              <w:top w:val="single" w:sz="8" w:color="DDDDDD"/>
              <w:bottom w:val="single" w:sz="8" w:color="DDDDDD"/>
            </w:tcBorders>
            <w:shd w:val="clear" w:color="auto" w:fill="DDDDDD"/>
          </w:tcPr>
          <w:p>
            <w:pPr>
              <w:spacing w:after="0"/>
              <w:rPr>
                <w:sz w:val="17"/>
                <w:szCs w:val="17"/>
                <w:color w:val="auto"/>
              </w:rPr>
            </w:pPr>
          </w:p>
        </w:tc>
        <w:tc>
          <w:tcPr>
            <w:tcW w:w="52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rPr>
              <w:t>32</w:t>
            </w:r>
          </w:p>
        </w:tc>
        <w:tc>
          <w:tcPr>
            <w:tcW w:w="320" w:type="dxa"/>
            <w:vAlign w:val="bottom"/>
            <w:tcBorders>
              <w:top w:val="single" w:sz="8" w:color="DDDDDD"/>
              <w:bottom w:val="single" w:sz="8" w:color="DDDDDD"/>
            </w:tcBorders>
            <w:shd w:val="clear" w:color="auto" w:fill="DDDDDD"/>
          </w:tcPr>
          <w:p>
            <w:pPr>
              <w:spacing w:after="0"/>
              <w:rPr>
                <w:sz w:val="17"/>
                <w:szCs w:val="17"/>
                <w:color w:val="auto"/>
              </w:rPr>
            </w:pPr>
          </w:p>
        </w:tc>
        <w:tc>
          <w:tcPr>
            <w:tcW w:w="130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20" w:type="dxa"/>
            <w:vAlign w:val="bottom"/>
            <w:tcBorders>
              <w:top w:val="single" w:sz="8" w:color="auto"/>
              <w:bottom w:val="single" w:sz="8" w:color="DDDDDD"/>
            </w:tcBorders>
            <w:shd w:val="clear" w:color="auto" w:fill="DDDDDD"/>
          </w:tcPr>
          <w:p>
            <w:pPr>
              <w:spacing w:after="0"/>
              <w:rPr>
                <w:sz w:val="17"/>
                <w:szCs w:val="17"/>
                <w:color w:val="auto"/>
              </w:rPr>
            </w:pPr>
          </w:p>
        </w:tc>
      </w:tr>
      <w:tr>
        <w:trPr>
          <w:trHeight w:val="20"/>
        </w:trPr>
        <w:tc>
          <w:tcPr>
            <w:tcW w:w="7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5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Income (Loss) per Class B common share:</w:t>
            </w: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7"/>
        </w:trPr>
        <w:tc>
          <w:tcPr>
            <w:tcW w:w="7560" w:type="dxa"/>
            <w:vAlign w:val="bottom"/>
            <w:shd w:val="clear" w:color="auto" w:fill="DDDDDD"/>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000" w:type="dxa"/>
            <w:vAlign w:val="bottom"/>
            <w:shd w:val="clear" w:color="auto" w:fill="DDDDDD"/>
          </w:tcPr>
          <w:p>
            <w:pPr>
              <w:jc w:val="right"/>
              <w:ind w:right="710"/>
              <w:spacing w:after="0"/>
              <w:rPr>
                <w:sz w:val="20"/>
                <w:szCs w:val="20"/>
                <w:color w:val="auto"/>
              </w:rPr>
            </w:pPr>
            <w:r>
              <w:rPr>
                <w:rFonts w:ascii="Times New Roman" w:cs="Times New Roman" w:eastAsia="Times New Roman" w:hAnsi="Times New Roman"/>
                <w:sz w:val="18"/>
                <w:szCs w:val="18"/>
                <w:color w:val="auto"/>
                <w:highlight w:val="lightGray"/>
              </w:rPr>
              <w:t>$</w:t>
            </w:r>
          </w:p>
        </w:tc>
        <w:tc>
          <w:tcPr>
            <w:tcW w:w="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0" w:type="dxa"/>
            <w:vAlign w:val="bottom"/>
            <w:shd w:val="clear" w:color="auto" w:fill="DDDDDD"/>
          </w:tcPr>
          <w:p>
            <w:pPr>
              <w:spacing w:after="0"/>
              <w:rPr>
                <w:sz w:val="18"/>
                <w:szCs w:val="18"/>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-1995170</wp:posOffset>
                </wp:positionV>
                <wp:extent cx="6858000"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57.0999pt" to="540.2pt,-157.0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-1427480</wp:posOffset>
                </wp:positionV>
                <wp:extent cx="6858000"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65">
                          <a:solidFill>
                            <a:srgbClr val="FFFFFF"/>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12.3999pt" to="540.2pt,-112.3999pt" o:allowincell="f" strokecolor="#FFFFFF" strokeweight="0.13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-272415</wp:posOffset>
                </wp:positionV>
                <wp:extent cx="6858000"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21.4499pt" to="540.2pt,-21.4499pt" o:allowincell="f" strokecolor="#FFFFFF" strokeweight="0.1399pt"/>
            </w:pict>
          </mc:Fallback>
        </mc:AlternateConten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FAIR VALUE</w:t>
      </w:r>
    </w:p>
    <w:p>
      <w:pPr>
        <w:spacing w:after="0" w:line="234"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19"/>
          <w:szCs w:val="19"/>
          <w:color w:val="auto"/>
        </w:rPr>
        <w:t>Fair value is the price that would be received to sell an asset or paid to transfer a liability in an orderly transaction between market participants at the measurement date (an exit price). A fair value measure should reflect the assumptions that market participants would use in pricing the asset or liability, including the assumptions about the risk inherent in a particular valuation technique, the effect of a restriction on the sale or use of an asset and the risk of non-performance. Required disclosures include presentation of balance sheet amounts measured at fair value based on inputs the Company uses to derive fair value measurements. These inputs are: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800"/>
          </w:cols>
          <w:pgMar w:left="720" w:top="781" w:right="720" w:bottom="135" w:gutter="0" w:footer="0" w:header="0"/>
        </w:sectPr>
      </w:pPr>
    </w:p>
    <w:bookmarkStart w:id="77" w:name="page78"/>
    <w:bookmarkEnd w:id="77"/>
    <w:p>
      <w:pPr>
        <w:ind w:left="400" w:right="60" w:hanging="204"/>
        <w:spacing w:after="0" w:line="259" w:lineRule="auto"/>
        <w:tabs>
          <w:tab w:leader="none" w:pos="4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1 valuations, where the valuation is based on quoted market prices for identical assets or liabilities traded in active markets (which include exchanges and over-the-counter markets with sufficient volume),</w:t>
      </w:r>
    </w:p>
    <w:p>
      <w:pPr>
        <w:ind w:left="400" w:right="100" w:hanging="204"/>
        <w:spacing w:after="0" w:line="243" w:lineRule="auto"/>
        <w:tabs>
          <w:tab w:leader="none" w:pos="4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2 valuations, where the valuation is based on quoted market prices for similar instruments traded in active markets, quoted prices for identical or similar instruments in markets that are not active and model-based valuation techniques for which all significant assumptions are observable in the market, and</w:t>
      </w:r>
    </w:p>
    <w:p>
      <w:pPr>
        <w:spacing w:after="0" w:line="1" w:lineRule="exact"/>
        <w:rPr>
          <w:rFonts w:ascii="Times New Roman" w:cs="Times New Roman" w:eastAsia="Times New Roman" w:hAnsi="Times New Roman"/>
          <w:sz w:val="20"/>
          <w:szCs w:val="20"/>
          <w:color w:val="auto"/>
        </w:rPr>
      </w:pPr>
    </w:p>
    <w:p>
      <w:pPr>
        <w:ind w:left="400" w:right="20" w:hanging="206"/>
        <w:spacing w:after="0" w:line="242" w:lineRule="auto"/>
        <w:tabs>
          <w:tab w:leader="none" w:pos="4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3 valuations, where the valuation is generated from model-based techniques that use significant assumptions not observable in the market, but observable based on Company-specific data. These unobservable assumptions reflect the Company’s own estimates for assumptions that market participants would use in pricing the asset or liability. Valuation techniques typically include option pricing models, discounted cash flow models and similar techniques, but may also include the use of market prices of assets or liabilities that are not directly comparable to the subject asset or liability.</w:t>
      </w:r>
    </w:p>
    <w:p>
      <w:pPr>
        <w:spacing w:after="0" w:line="199" w:lineRule="exact"/>
        <w:rPr>
          <w:sz w:val="20"/>
          <w:szCs w:val="20"/>
          <w:color w:val="auto"/>
        </w:rPr>
      </w:pPr>
    </w:p>
    <w:p>
      <w:pPr>
        <w:ind w:right="220" w:firstLine="360"/>
        <w:spacing w:after="0" w:line="249" w:lineRule="auto"/>
        <w:rPr>
          <w:sz w:val="20"/>
          <w:szCs w:val="20"/>
          <w:color w:val="auto"/>
        </w:rPr>
      </w:pPr>
      <w:r>
        <w:rPr>
          <w:rFonts w:ascii="Times New Roman" w:cs="Times New Roman" w:eastAsia="Times New Roman" w:hAnsi="Times New Roman"/>
          <w:sz w:val="20"/>
          <w:szCs w:val="20"/>
          <w:color w:val="auto"/>
        </w:rPr>
        <w:t>The Company's MBS and Orchid common stock are recorded at fair value on a recurring basis as of December 31, 2025 and 2024. When determining fair value measurements, the Company considers the principal or most advantageous market in which it would transact and considers assumptions that market participants would use when pricing the asset. When possible, the Company looks to active and observable markets to price identical assets. When identical assets are not traded in active markets, the Company looks to market observable data for similar assets.</w:t>
      </w:r>
    </w:p>
    <w:p>
      <w:pPr>
        <w:spacing w:after="0" w:line="187" w:lineRule="exact"/>
        <w:rPr>
          <w:sz w:val="20"/>
          <w:szCs w:val="20"/>
          <w:color w:val="auto"/>
        </w:rPr>
      </w:pPr>
    </w:p>
    <w:p>
      <w:pPr>
        <w:ind w:firstLine="360"/>
        <w:spacing w:after="0" w:line="242" w:lineRule="auto"/>
        <w:rPr>
          <w:sz w:val="20"/>
          <w:szCs w:val="20"/>
          <w:color w:val="auto"/>
        </w:rPr>
      </w:pPr>
      <w:r>
        <w:rPr>
          <w:rFonts w:ascii="Times New Roman" w:cs="Times New Roman" w:eastAsia="Times New Roman" w:hAnsi="Times New Roman"/>
          <w:sz w:val="20"/>
          <w:szCs w:val="20"/>
          <w:color w:val="auto"/>
        </w:rPr>
        <w:t>The Company's MBS are valued using Level 2 valuations, and such valuations currently are determined by the Company based on independent pricing sources and/or third party broker quotes. Because the price estimates may vary, the Company must make certain judgments and assumptions about the appropriate price to use to calculate the fair values. The Company and the independent pricing sources use various valuation techniques to determine the price of the Company’s securities. These techniques include observing the most recent market for like or identical assets (including security coupon, maturity, yield, and prepayment speeds), spread pricing techniques to determine market credit spreads (option adjusted spread, zero volatility spread, spread to the U.S. Treasury curve or spread to a benchmark such as a TBA security), and model driven approaches (the discounted cash flow method, Black Scholes and SABR models which rely upon observable market rates such as the term structure of interest rates and volatility). The appropriate spread pricing method used is based on market convention. The pricing source determines the spread of recently observed trade activity or observable markets for assets similar to those being priced. The spread is then adjusted based on variances in certain characteristics between the market observation and the asset being priced. Those characteristics include: type of asset, the expected life of the asset, the stability and predictability of the expected future cash flows of the asset, whether the coupon of the asset is fixed or adjustable, the guarantor of the security if applicable, the coupon, the maturity, the issuer, size of the underlying loans, year in which the underlying loans were originated, loan to value ratio, state in which the underlying loans reside, credit score of the underlying borrowers and other variables if appropriate. The fair value of the security is determined by using the adjusted spread.</w:t>
      </w:r>
    </w:p>
    <w:p>
      <w:pPr>
        <w:spacing w:after="0" w:line="203"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The Company’s futures contracts are Level 1 valuations, as they are exchange-traded instruments and quoted market prices are readily available. Futures contracts are settled daily. Retained interests have a recorded fair value of zero as of December 31, 2025 and 2024, as the prospect of future cash flows is uncertain based on a Level 3 valuation analysis. Any cash received from the retained interests is reflected as a gain in the consolidated statements of operations.</w:t>
      </w:r>
    </w:p>
    <w:p>
      <w:pPr>
        <w:spacing w:after="0" w:line="184" w:lineRule="exact"/>
        <w:rPr>
          <w:sz w:val="20"/>
          <w:szCs w:val="20"/>
          <w:color w:val="auto"/>
        </w:rPr>
      </w:pPr>
    </w:p>
    <w:p>
      <w:pPr>
        <w:ind w:firstLine="360"/>
        <w:spacing w:after="0" w:line="246" w:lineRule="auto"/>
        <w:rPr>
          <w:sz w:val="20"/>
          <w:szCs w:val="20"/>
          <w:color w:val="auto"/>
        </w:rPr>
      </w:pPr>
      <w:r>
        <w:rPr>
          <w:rFonts w:ascii="Times New Roman" w:cs="Times New Roman" w:eastAsia="Times New Roman" w:hAnsi="Times New Roman"/>
          <w:sz w:val="20"/>
          <w:szCs w:val="20"/>
          <w:color w:val="auto"/>
        </w:rPr>
        <w:t>The estimated fair value of cash and cash equivalents, restricted cash, accrued interest receivable, other assets, due from affiliates, repurchase agreements, accrued interest payable and other liabilities generally approximates their carrying values due to the short-term nature of these financial instruments. The Company estimates the fair value of the cash and cash equivalents and restricted cash using Level 1 inputs, and the accrued interest receivable, other assets, due from affiliates, repurchase agreements, accrued interest payable and other liabilities using Level 2 inputs. The fair value of the Company’s junior subordinated debt approximates its carrying value. The carrying value is a reasonable estimate of fair value since the instrument carries a floating rate that resets frequently. Further information regarding this instrument is presented in Note 9.</w:t>
      </w:r>
    </w:p>
    <w:p>
      <w:pPr>
        <w:spacing w:after="0" w:line="190" w:lineRule="exact"/>
        <w:rPr>
          <w:sz w:val="20"/>
          <w:szCs w:val="20"/>
          <w:color w:val="auto"/>
        </w:rPr>
      </w:pPr>
    </w:p>
    <w:p>
      <w:pPr>
        <w:ind w:right="260" w:firstLine="360"/>
        <w:spacing w:after="0" w:line="278" w:lineRule="auto"/>
        <w:rPr>
          <w:sz w:val="20"/>
          <w:szCs w:val="20"/>
          <w:color w:val="auto"/>
        </w:rPr>
      </w:pPr>
      <w:r>
        <w:rPr>
          <w:rFonts w:ascii="Times New Roman" w:cs="Times New Roman" w:eastAsia="Times New Roman" w:hAnsi="Times New Roman"/>
          <w:sz w:val="20"/>
          <w:szCs w:val="20"/>
          <w:color w:val="auto"/>
        </w:rPr>
        <w:t>The following table presents financial assets and liabilities measured at fair value on a recurring basis as of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800"/>
          </w:cols>
          <w:pgMar w:left="720" w:top="790" w:right="720" w:bottom="135"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23495</wp:posOffset>
                </wp:positionV>
                <wp:extent cx="6858000"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85pt" to="540.2pt,1.85pt" o:allowincell="f" strokecolor="#FFFFFF" strokeweight="0.14pt"/>
            </w:pict>
          </mc:Fallback>
        </mc:AlternateConten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center"/>
              <w:ind w:right="10"/>
              <w:spacing w:after="0" w:line="182" w:lineRule="exact"/>
              <w:rPr>
                <w:sz w:val="20"/>
                <w:szCs w:val="20"/>
                <w:color w:val="auto"/>
              </w:rPr>
            </w:pPr>
            <w:r>
              <w:rPr>
                <w:rFonts w:ascii="Times New Roman" w:cs="Times New Roman" w:eastAsia="Times New Roman" w:hAnsi="Times New Roman"/>
                <w:sz w:val="18"/>
                <w:szCs w:val="18"/>
                <w:b w:val="1"/>
                <w:bCs w:val="1"/>
                <w:color w:val="auto"/>
                <w:w w:val="98"/>
              </w:rPr>
              <w:t>Quoted</w:t>
            </w: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r>
      <w:tr>
        <w:trPr>
          <w:trHeight w:val="217"/>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Prices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7"/>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7"/>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220" w:type="dxa"/>
            <w:vAlign w:val="bottom"/>
          </w:tcPr>
          <w:p>
            <w:pPr>
              <w:spacing w:after="0"/>
              <w:rPr>
                <w:sz w:val="18"/>
                <w:szCs w:val="18"/>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Unobservable</w:t>
            </w:r>
          </w:p>
        </w:tc>
      </w:tr>
      <w:tr>
        <w:trPr>
          <w:trHeight w:val="217"/>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35"/>
        </w:trPr>
        <w:tc>
          <w:tcPr>
            <w:tcW w:w="56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w w:val="99"/>
              </w:rPr>
              <w:t>Measurements</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35"/>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182"/>
        </w:trPr>
        <w:tc>
          <w:tcPr>
            <w:tcW w:w="562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104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88,929</w:t>
            </w:r>
          </w:p>
        </w:tc>
        <w:tc>
          <w:tcPr>
            <w:tcW w:w="220" w:type="dxa"/>
            <w:vAlign w:val="bottom"/>
            <w:tcBorders>
              <w:top w:val="single" w:sz="8" w:color="DDDDDD"/>
              <w:bottom w:val="single" w:sz="8" w:color="DDDDDD"/>
            </w:tcBorders>
            <w:shd w:val="clear" w:color="auto" w:fill="DDDDDD"/>
          </w:tcPr>
          <w:p>
            <w:pPr>
              <w:spacing w:after="0"/>
              <w:rPr>
                <w:sz w:val="15"/>
                <w:szCs w:val="15"/>
                <w:color w:val="auto"/>
              </w:rPr>
            </w:pPr>
          </w:p>
        </w:tc>
        <w:tc>
          <w:tcPr>
            <w:tcW w:w="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88,929</w:t>
            </w:r>
          </w:p>
        </w:tc>
        <w:tc>
          <w:tcPr>
            <w:tcW w:w="220" w:type="dxa"/>
            <w:vAlign w:val="bottom"/>
            <w:tcBorders>
              <w:top w:val="single" w:sz="8" w:color="DDDDDD"/>
              <w:bottom w:val="single" w:sz="8" w:color="DDDDDD"/>
            </w:tcBorders>
            <w:shd w:val="clear" w:color="auto" w:fill="DDDDDD"/>
          </w:tcPr>
          <w:p>
            <w:pPr>
              <w:spacing w:after="0"/>
              <w:rPr>
                <w:sz w:val="15"/>
                <w:szCs w:val="15"/>
                <w:color w:val="auto"/>
              </w:rPr>
            </w:pPr>
          </w:p>
        </w:tc>
        <w:tc>
          <w:tcPr>
            <w:tcW w:w="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DDDDDD"/>
            </w:tcBorders>
          </w:tcPr>
          <w:p>
            <w:pPr>
              <w:spacing w:after="0"/>
              <w:rPr>
                <w:sz w:val="15"/>
                <w:szCs w:val="15"/>
                <w:color w:val="auto"/>
              </w:rPr>
            </w:pPr>
          </w:p>
        </w:tc>
        <w:tc>
          <w:tcPr>
            <w:tcW w:w="80" w:type="dxa"/>
            <w:vAlign w:val="bottom"/>
            <w:tcBorders>
              <w:top w:val="single" w:sz="8" w:color="DDDDDD"/>
              <w:bottom w:val="single" w:sz="8" w:color="DDDDDD"/>
            </w:tcBorders>
            <w:shd w:val="clear" w:color="auto" w:fill="DDDDDD"/>
          </w:tcPr>
          <w:p>
            <w:pPr>
              <w:spacing w:after="0"/>
              <w:rPr>
                <w:sz w:val="15"/>
                <w:szCs w:val="15"/>
                <w:color w:val="auto"/>
              </w:rPr>
            </w:pPr>
          </w:p>
        </w:tc>
      </w:tr>
      <w:tr>
        <w:trPr>
          <w:trHeight w:val="229"/>
        </w:trPr>
        <w:tc>
          <w:tcPr>
            <w:tcW w:w="5620" w:type="dxa"/>
            <w:vAlign w:val="bottom"/>
            <w:tcBorders>
              <w:bottom w:val="single" w:sz="8" w:color="auto"/>
            </w:tcBorders>
          </w:tcPr>
          <w:p>
            <w:pPr>
              <w:spacing w:after="0" w:line="204" w:lineRule="exact"/>
              <w:rPr>
                <w:sz w:val="20"/>
                <w:szCs w:val="20"/>
                <w:color w:val="auto"/>
              </w:rPr>
            </w:pPr>
            <w:r>
              <w:rPr>
                <w:rFonts w:ascii="Times New Roman" w:cs="Times New Roman" w:eastAsia="Times New Roman" w:hAnsi="Times New Roman"/>
                <w:sz w:val="18"/>
                <w:szCs w:val="18"/>
                <w:color w:val="auto"/>
              </w:rPr>
              <w:t>Orchid Island Capital, Inc. common stock</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4,097</w:t>
            </w: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4,097</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r>
      <w:tr>
        <w:trPr>
          <w:trHeight w:val="185"/>
        </w:trPr>
        <w:tc>
          <w:tcPr>
            <w:tcW w:w="5620" w:type="dxa"/>
            <w:vAlign w:val="bottom"/>
            <w:tcBorders>
              <w:top w:val="single" w:sz="8" w:color="DDDDDD"/>
              <w:bottom w:val="single" w:sz="8" w:color="auto"/>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1040" w:type="dxa"/>
            <w:vAlign w:val="bottom"/>
            <w:tcBorders>
              <w:top w:val="single" w:sz="8" w:color="DDDDDD"/>
              <w:bottom w:val="single" w:sz="8" w:color="auto"/>
            </w:tcBorders>
            <w:shd w:val="clear" w:color="auto" w:fill="DDDDDD"/>
          </w:tcPr>
          <w:p>
            <w:pPr>
              <w:spacing w:after="0"/>
              <w:rPr>
                <w:sz w:val="16"/>
                <w:szCs w:val="16"/>
                <w:color w:val="auto"/>
              </w:rPr>
            </w:pPr>
          </w:p>
        </w:tc>
        <w:tc>
          <w:tcPr>
            <w:tcW w:w="220" w:type="dxa"/>
            <w:vAlign w:val="bottom"/>
            <w:tcBorders>
              <w:top w:val="single" w:sz="8" w:color="DDDDDD"/>
              <w:bottom w:val="single" w:sz="8" w:color="auto"/>
            </w:tcBorders>
            <w:shd w:val="clear" w:color="auto" w:fill="DDDDDD"/>
          </w:tcPr>
          <w:p>
            <w:pPr>
              <w:spacing w:after="0"/>
              <w:rPr>
                <w:sz w:val="16"/>
                <w:szCs w:val="16"/>
                <w:color w:val="auto"/>
              </w:rPr>
            </w:pPr>
          </w:p>
        </w:tc>
        <w:tc>
          <w:tcPr>
            <w:tcW w:w="80" w:type="dxa"/>
            <w:vAlign w:val="bottom"/>
            <w:tcBorders>
              <w:top w:val="single" w:sz="8" w:color="DDDDDD"/>
              <w:bottom w:val="single" w:sz="8" w:color="auto"/>
            </w:tcBorders>
            <w:shd w:val="clear" w:color="auto" w:fill="DDDDDD"/>
          </w:tcPr>
          <w:p>
            <w:pPr>
              <w:spacing w:after="0"/>
              <w:rPr>
                <w:sz w:val="16"/>
                <w:szCs w:val="16"/>
                <w:color w:val="auto"/>
              </w:rPr>
            </w:pPr>
          </w:p>
        </w:tc>
        <w:tc>
          <w:tcPr>
            <w:tcW w:w="980" w:type="dxa"/>
            <w:vAlign w:val="bottom"/>
            <w:tcBorders>
              <w:top w:val="single" w:sz="8" w:color="DDDDDD"/>
              <w:bottom w:val="single" w:sz="8" w:color="auto"/>
            </w:tcBorders>
            <w:shd w:val="clear" w:color="auto" w:fill="DDDDDD"/>
          </w:tcPr>
          <w:p>
            <w:pPr>
              <w:spacing w:after="0"/>
              <w:rPr>
                <w:sz w:val="16"/>
                <w:szCs w:val="16"/>
                <w:color w:val="auto"/>
              </w:rPr>
            </w:pPr>
          </w:p>
        </w:tc>
        <w:tc>
          <w:tcPr>
            <w:tcW w:w="200" w:type="dxa"/>
            <w:vAlign w:val="bottom"/>
            <w:tcBorders>
              <w:top w:val="single" w:sz="8" w:color="DDDDDD"/>
              <w:bottom w:val="single" w:sz="8" w:color="auto"/>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rPr>
                <w:sz w:val="16"/>
                <w:szCs w:val="16"/>
                <w:color w:val="auto"/>
              </w:rPr>
            </w:pPr>
          </w:p>
        </w:tc>
        <w:tc>
          <w:tcPr>
            <w:tcW w:w="980" w:type="dxa"/>
            <w:vAlign w:val="bottom"/>
            <w:tcBorders>
              <w:top w:val="single" w:sz="8" w:color="DDDDDD"/>
              <w:bottom w:val="single" w:sz="8" w:color="auto"/>
            </w:tcBorders>
            <w:shd w:val="clear" w:color="auto" w:fill="DDDDDD"/>
          </w:tcPr>
          <w:p>
            <w:pPr>
              <w:spacing w:after="0"/>
              <w:rPr>
                <w:sz w:val="16"/>
                <w:szCs w:val="16"/>
                <w:color w:val="auto"/>
              </w:rPr>
            </w:pPr>
          </w:p>
        </w:tc>
        <w:tc>
          <w:tcPr>
            <w:tcW w:w="220" w:type="dxa"/>
            <w:vAlign w:val="bottom"/>
            <w:tcBorders>
              <w:top w:val="single" w:sz="8" w:color="DDDDDD"/>
              <w:bottom w:val="single" w:sz="8" w:color="auto"/>
            </w:tcBorders>
            <w:shd w:val="clear" w:color="auto" w:fill="DDDDDD"/>
          </w:tcPr>
          <w:p>
            <w:pPr>
              <w:spacing w:after="0"/>
              <w:rPr>
                <w:sz w:val="16"/>
                <w:szCs w:val="16"/>
                <w:color w:val="auto"/>
              </w:rPr>
            </w:pPr>
          </w:p>
        </w:tc>
        <w:tc>
          <w:tcPr>
            <w:tcW w:w="80" w:type="dxa"/>
            <w:vAlign w:val="bottom"/>
            <w:tcBorders>
              <w:top w:val="single" w:sz="8" w:color="DDDDDD"/>
              <w:bottom w:val="single" w:sz="8" w:color="auto"/>
            </w:tcBorders>
            <w:shd w:val="clear" w:color="auto" w:fill="DDDDDD"/>
          </w:tcPr>
          <w:p>
            <w:pPr>
              <w:spacing w:after="0"/>
              <w:rPr>
                <w:sz w:val="16"/>
                <w:szCs w:val="16"/>
                <w:color w:val="auto"/>
              </w:rPr>
            </w:pPr>
          </w:p>
        </w:tc>
        <w:tc>
          <w:tcPr>
            <w:tcW w:w="980" w:type="dxa"/>
            <w:vAlign w:val="bottom"/>
            <w:tcBorders>
              <w:top w:val="single" w:sz="8" w:color="DDDDDD"/>
              <w:bottom w:val="single" w:sz="8" w:color="auto"/>
            </w:tcBorders>
            <w:shd w:val="clear" w:color="auto" w:fill="DDDDDD"/>
          </w:tcPr>
          <w:p>
            <w:pPr>
              <w:spacing w:after="0"/>
              <w:rPr>
                <w:sz w:val="16"/>
                <w:szCs w:val="16"/>
                <w:color w:val="auto"/>
              </w:rPr>
            </w:pPr>
          </w:p>
        </w:tc>
        <w:tc>
          <w:tcPr>
            <w:tcW w:w="20" w:type="dxa"/>
            <w:vAlign w:val="bottom"/>
            <w:tcBorders>
              <w:top w:val="single" w:sz="8" w:color="DDDDDD"/>
              <w:bottom w:val="single" w:sz="8" w:color="auto"/>
            </w:tcBorders>
          </w:tcPr>
          <w:p>
            <w:pPr>
              <w:spacing w:after="0"/>
              <w:rPr>
                <w:sz w:val="16"/>
                <w:szCs w:val="16"/>
                <w:color w:val="auto"/>
              </w:rPr>
            </w:pPr>
          </w:p>
        </w:tc>
        <w:tc>
          <w:tcPr>
            <w:tcW w:w="80" w:type="dxa"/>
            <w:vAlign w:val="bottom"/>
            <w:tcBorders>
              <w:top w:val="single" w:sz="8" w:color="DDDDDD"/>
              <w:bottom w:val="single" w:sz="8" w:color="auto"/>
            </w:tcBorders>
            <w:shd w:val="clear" w:color="auto" w:fill="DDDDDD"/>
          </w:tcPr>
          <w:p>
            <w:pPr>
              <w:spacing w:after="0"/>
              <w:rPr>
                <w:sz w:val="16"/>
                <w:szCs w:val="16"/>
                <w:color w:val="auto"/>
              </w:rPr>
            </w:pPr>
          </w:p>
        </w:tc>
      </w:tr>
      <w:tr>
        <w:trPr>
          <w:trHeight w:val="212"/>
        </w:trPr>
        <w:tc>
          <w:tcPr>
            <w:tcW w:w="562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0" w:type="dxa"/>
            <w:vAlign w:val="bottom"/>
            <w:tcBorders>
              <w:bottom w:val="single" w:sz="8" w:color="DDDDDD"/>
            </w:tcBorders>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122,348</w:t>
            </w:r>
          </w:p>
        </w:tc>
        <w:tc>
          <w:tcPr>
            <w:tcW w:w="30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122,348</w:t>
            </w:r>
          </w:p>
        </w:tc>
        <w:tc>
          <w:tcPr>
            <w:tcW w:w="30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DDDDD"/>
            </w:tcBorders>
          </w:tcPr>
          <w:p>
            <w:pPr>
              <w:spacing w:after="0"/>
              <w:rPr>
                <w:sz w:val="18"/>
                <w:szCs w:val="18"/>
                <w:color w:val="auto"/>
              </w:rPr>
            </w:pPr>
          </w:p>
        </w:tc>
        <w:tc>
          <w:tcPr>
            <w:tcW w:w="80" w:type="dxa"/>
            <w:vAlign w:val="bottom"/>
            <w:tcBorders>
              <w:bottom w:val="single" w:sz="8" w:color="DDDDDD"/>
            </w:tcBorders>
          </w:tcPr>
          <w:p>
            <w:pPr>
              <w:spacing w:after="0"/>
              <w:rPr>
                <w:sz w:val="18"/>
                <w:szCs w:val="18"/>
                <w:color w:val="auto"/>
              </w:rPr>
            </w:pPr>
          </w:p>
        </w:tc>
      </w:tr>
      <w:tr>
        <w:trPr>
          <w:trHeight w:val="195"/>
        </w:trPr>
        <w:tc>
          <w:tcPr>
            <w:tcW w:w="5620" w:type="dxa"/>
            <w:vAlign w:val="bottom"/>
            <w:tcBorders>
              <w:bottom w:val="single" w:sz="8" w:color="auto"/>
            </w:tcBorders>
            <w:shd w:val="clear" w:color="auto" w:fill="DDDDDD"/>
          </w:tcPr>
          <w:p>
            <w:pPr>
              <w:spacing w:after="0" w:line="193" w:lineRule="exact"/>
              <w:rPr>
                <w:sz w:val="20"/>
                <w:szCs w:val="20"/>
                <w:color w:val="auto"/>
              </w:rPr>
            </w:pPr>
            <w:r>
              <w:rPr>
                <w:rFonts w:ascii="Times New Roman" w:cs="Times New Roman" w:eastAsia="Times New Roman" w:hAnsi="Times New Roman"/>
                <w:sz w:val="18"/>
                <w:szCs w:val="18"/>
                <w:color w:val="auto"/>
              </w:rPr>
              <w:t>Orchid Island Capital, Inc. common stock</w:t>
            </w:r>
          </w:p>
        </w:tc>
        <w:tc>
          <w:tcPr>
            <w:tcW w:w="10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1040" w:type="dxa"/>
            <w:vAlign w:val="bottom"/>
            <w:tcBorders>
              <w:bottom w:val="single" w:sz="8" w:color="auto"/>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4,427</w:t>
            </w:r>
          </w:p>
        </w:tc>
        <w:tc>
          <w:tcPr>
            <w:tcW w:w="220" w:type="dxa"/>
            <w:vAlign w:val="bottom"/>
            <w:tcBorders>
              <w:bottom w:val="single" w:sz="8" w:color="auto"/>
            </w:tcBorders>
            <w:shd w:val="clear" w:color="auto" w:fill="DDDDDD"/>
          </w:tcPr>
          <w:p>
            <w:pPr>
              <w:spacing w:after="0"/>
              <w:rPr>
                <w:sz w:val="16"/>
                <w:szCs w:val="16"/>
                <w:color w:val="auto"/>
              </w:rPr>
            </w:pPr>
          </w:p>
        </w:tc>
        <w:tc>
          <w:tcPr>
            <w:tcW w:w="8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4,427</w:t>
            </w:r>
          </w:p>
        </w:tc>
        <w:tc>
          <w:tcPr>
            <w:tcW w:w="20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DDDDDD"/>
          </w:tcPr>
          <w:p>
            <w:pPr>
              <w:spacing w:after="0"/>
              <w:rPr>
                <w:sz w:val="16"/>
                <w:szCs w:val="16"/>
                <w:color w:val="auto"/>
              </w:rPr>
            </w:pPr>
          </w:p>
        </w:tc>
        <w:tc>
          <w:tcPr>
            <w:tcW w:w="8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shd w:val="clear" w:color="auto" w:fill="DDDDDD"/>
          </w:tcPr>
          <w:p>
            <w:pPr>
              <w:spacing w:after="0"/>
              <w:rPr>
                <w:sz w:val="16"/>
                <w:szCs w:val="16"/>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-859790</wp:posOffset>
                </wp:positionV>
                <wp:extent cx="6858000"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67.6999pt" to="540.2pt,-67.6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-283845</wp:posOffset>
                </wp:positionV>
                <wp:extent cx="6858000"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22.3499pt" to="540.2pt,-22.3499pt" o:allowincell="f" strokecolor="#FFFFFF" strokeweight="0.14pt"/>
            </w:pict>
          </mc:Fallback>
        </mc:AlternateContent>
      </w:r>
    </w:p>
    <w:p>
      <w:pPr>
        <w:spacing w:after="0" w:line="190" w:lineRule="exact"/>
        <w:rPr>
          <w:sz w:val="20"/>
          <w:szCs w:val="20"/>
          <w:color w:val="auto"/>
        </w:rPr>
      </w:pPr>
    </w:p>
    <w:p>
      <w:pPr>
        <w:jc w:val="both"/>
        <w:ind w:right="100" w:firstLine="360"/>
        <w:spacing w:after="0" w:line="278" w:lineRule="auto"/>
        <w:rPr>
          <w:sz w:val="20"/>
          <w:szCs w:val="20"/>
          <w:color w:val="auto"/>
        </w:rPr>
      </w:pPr>
      <w:r>
        <w:rPr>
          <w:rFonts w:ascii="Times New Roman" w:cs="Times New Roman" w:eastAsia="Times New Roman" w:hAnsi="Times New Roman"/>
          <w:sz w:val="20"/>
          <w:szCs w:val="20"/>
          <w:color w:val="auto"/>
        </w:rPr>
        <w:t>During the years ended December 31, 2025 and 2024, there were no transfers of financial assets or liabilities between Levels 1, 2 or 3.</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SEGMENT INFORMATION</w:t>
      </w:r>
    </w:p>
    <w:p>
      <w:pPr>
        <w:spacing w:after="0" w:line="234" w:lineRule="exact"/>
        <w:rPr>
          <w:sz w:val="20"/>
          <w:szCs w:val="20"/>
          <w:color w:val="auto"/>
        </w:rPr>
      </w:pPr>
    </w:p>
    <w:p>
      <w:pPr>
        <w:ind w:right="40" w:firstLine="360"/>
        <w:spacing w:after="0" w:line="247" w:lineRule="auto"/>
        <w:rPr>
          <w:sz w:val="20"/>
          <w:szCs w:val="20"/>
          <w:color w:val="auto"/>
        </w:rPr>
      </w:pPr>
      <w:r>
        <w:rPr>
          <w:rFonts w:ascii="Times New Roman" w:cs="Times New Roman" w:eastAsia="Times New Roman" w:hAnsi="Times New Roman"/>
          <w:sz w:val="20"/>
          <w:szCs w:val="20"/>
          <w:color w:val="auto"/>
        </w:rPr>
        <w:t>The Company’s business is organized into the asset management and the investment portfolio segments, with each representing a reportable segment. Our CODM is our Chief Executive Officer. The results of each segment are regularly reviewed by the CODM to assess the performance of the segment and make decisions regarding the allocation of resources to the segments. The primary measure of segment performance used by the CODM is income before federal income taxes. Net revenues is also used to assess the financial performance of the segments and for purposes of allocating resources. The accounting policies of our two reportable business segments are the same as those described in Note 1.</w:t>
      </w:r>
    </w:p>
    <w:p>
      <w:pPr>
        <w:spacing w:after="0" w:line="191" w:lineRule="exact"/>
        <w:rPr>
          <w:sz w:val="20"/>
          <w:szCs w:val="20"/>
          <w:color w:val="auto"/>
        </w:rPr>
      </w:pPr>
    </w:p>
    <w:p>
      <w:pPr>
        <w:ind w:right="160" w:firstLine="360"/>
        <w:spacing w:after="0" w:line="249" w:lineRule="auto"/>
        <w:rPr>
          <w:sz w:val="20"/>
          <w:szCs w:val="20"/>
          <w:color w:val="auto"/>
        </w:rPr>
      </w:pPr>
      <w:r>
        <w:rPr>
          <w:rFonts w:ascii="Times New Roman" w:cs="Times New Roman" w:eastAsia="Times New Roman" w:hAnsi="Times New Roman"/>
          <w:sz w:val="20"/>
          <w:szCs w:val="20"/>
          <w:color w:val="auto"/>
        </w:rPr>
        <w:t>The asset management segment includes the investment advisory services provided by Bimini Advisors to Orchid and Royal Palm. As discussed in Note 2, the revenues of the asset management segment consist of management fees, overhead reimbursements and repurchase, clearing and administrative fees received pursuant to a management agreement with Orchid. Total revenues received under this management agreement for the years ended December 31, 2025 and 2024, were approximately $16.6 million and $12.8 million, respectively, accounting for approximately 70% and 66% of consolidated revenues, respectively.</w:t>
      </w:r>
    </w:p>
    <w:p>
      <w:pPr>
        <w:spacing w:after="0" w:line="187" w:lineRule="exact"/>
        <w:rPr>
          <w:sz w:val="20"/>
          <w:szCs w:val="20"/>
          <w:color w:val="auto"/>
        </w:rPr>
      </w:pPr>
    </w:p>
    <w:p>
      <w:pPr>
        <w:ind w:right="100" w:firstLine="360"/>
        <w:spacing w:after="0" w:line="278" w:lineRule="auto"/>
        <w:rPr>
          <w:sz w:val="20"/>
          <w:szCs w:val="20"/>
          <w:color w:val="auto"/>
        </w:rPr>
      </w:pPr>
      <w:r>
        <w:rPr>
          <w:rFonts w:ascii="Times New Roman" w:cs="Times New Roman" w:eastAsia="Times New Roman" w:hAnsi="Times New Roman"/>
          <w:sz w:val="20"/>
          <w:szCs w:val="20"/>
          <w:color w:val="auto"/>
        </w:rPr>
        <w:t>The investment portfolio segment includes the investment activities conducted by Royal Palm. The investment portfolio segment receives revenue in the form of interest and dividend income on its investments.</w:t>
      </w:r>
    </w:p>
    <w:p>
      <w:pPr>
        <w:spacing w:after="0" w:line="157" w:lineRule="exact"/>
        <w:rPr>
          <w:sz w:val="20"/>
          <w:szCs w:val="20"/>
          <w:color w:val="auto"/>
        </w:rPr>
      </w:pPr>
    </w:p>
    <w:p>
      <w:pPr>
        <w:ind w:right="100" w:firstLine="360"/>
        <w:spacing w:after="0" w:line="246" w:lineRule="auto"/>
        <w:rPr>
          <w:sz w:val="20"/>
          <w:szCs w:val="20"/>
          <w:color w:val="auto"/>
        </w:rPr>
      </w:pPr>
      <w:r>
        <w:rPr>
          <w:rFonts w:ascii="Times New Roman" w:cs="Times New Roman" w:eastAsia="Times New Roman" w:hAnsi="Times New Roman"/>
          <w:sz w:val="20"/>
          <w:szCs w:val="20"/>
          <w:color w:val="auto"/>
        </w:rPr>
        <w:t>The majority of our assets, revenues and expenses are directly associated with each respective business segment and are included in determining its asset balance and operating results. Those assets, revenues and expenses that are not directly attributable to a particular business segment are included in the Corporate function. Corporate operating expenses are allocated to the reportable segments based on their proportional share of total revenues. As a result, the sum of each income statement line item for the two reportable segments and the Corporate function is equal to that same income statement line item for the consolidated entity. In addition, the sum of the total assets for the two reportable segments and the Corporate function is equal to the total assets of the consolidated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800"/>
          </w:cols>
          <w:pgMar w:left="720" w:top="796" w:right="720" w:bottom="135" w:gutter="0" w:footer="0" w:header="0"/>
        </w:sectPr>
      </w:pPr>
    </w:p>
    <w:bookmarkStart w:id="79" w:name="page80"/>
    <w:bookmarkEnd w:id="79"/>
    <w:p>
      <w:pPr>
        <w:ind w:left="360"/>
        <w:spacing w:after="0"/>
        <w:rPr>
          <w:sz w:val="20"/>
          <w:szCs w:val="20"/>
          <w:color w:val="auto"/>
        </w:rPr>
      </w:pPr>
      <w:r>
        <w:rPr>
          <w:rFonts w:ascii="Times New Roman" w:cs="Times New Roman" w:eastAsia="Times New Roman" w:hAnsi="Times New Roman"/>
          <w:sz w:val="20"/>
          <w:szCs w:val="20"/>
          <w:color w:val="auto"/>
        </w:rPr>
        <w:t>Segment information for the years ended December 31, 2025 and 2024 is as follows: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23495</wp:posOffset>
                </wp:positionV>
                <wp:extent cx="6858000"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85pt" to="540.2pt,1.85pt" o:allowincell="f" strokecolor="#FFFFFF" strokeweight="0.14pt"/>
            </w:pict>
          </mc:Fallback>
        </mc:AlternateConten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tcPr>
          <w:p>
            <w:pPr>
              <w:jc w:val="center"/>
              <w:ind w:right="120"/>
              <w:spacing w:after="0" w:line="182" w:lineRule="exact"/>
              <w:rPr>
                <w:sz w:val="20"/>
                <w:szCs w:val="20"/>
                <w:color w:val="auto"/>
              </w:rPr>
            </w:pPr>
            <w:r>
              <w:rPr>
                <w:rFonts w:ascii="Times New Roman" w:cs="Times New Roman" w:eastAsia="Times New Roman" w:hAnsi="Times New Roman"/>
                <w:sz w:val="18"/>
                <w:szCs w:val="18"/>
                <w:b w:val="1"/>
                <w:bCs w:val="1"/>
                <w:color w:val="auto"/>
                <w:w w:val="97"/>
              </w:rPr>
              <w:t>Asset</w:t>
            </w: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jc w:val="right"/>
              <w:ind w:right="120"/>
              <w:spacing w:after="0" w:line="182" w:lineRule="exact"/>
              <w:rPr>
                <w:sz w:val="20"/>
                <w:szCs w:val="20"/>
                <w:color w:val="auto"/>
              </w:rPr>
            </w:pPr>
            <w:r>
              <w:rPr>
                <w:rFonts w:ascii="Times New Roman" w:cs="Times New Roman" w:eastAsia="Times New Roman" w:hAnsi="Times New Roman"/>
                <w:sz w:val="18"/>
                <w:szCs w:val="18"/>
                <w:b w:val="1"/>
                <w:bCs w:val="1"/>
                <w:color w:val="auto"/>
                <w:w w:val="97"/>
              </w:rPr>
              <w:t>Investment</w:t>
            </w: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r>
      <w:tr>
        <w:trPr>
          <w:trHeight w:val="235"/>
        </w:trPr>
        <w:tc>
          <w:tcPr>
            <w:tcW w:w="4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Management</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Portfolio</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5"/>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70" w:type="dxa"/>
            <w:vAlign w:val="bottom"/>
            <w:tcBorders>
              <w:bottom w:val="single" w:sz="8" w:color="auto"/>
            </w:tcBorders>
          </w:tcPr>
          <w:p>
            <w:pPr>
              <w:spacing w:after="0"/>
              <w:rPr>
                <w:sz w:val="20"/>
                <w:szCs w:val="20"/>
                <w:color w:val="auto"/>
              </w:rPr>
            </w:pPr>
          </w:p>
        </w:tc>
        <w:tc>
          <w:tcPr>
            <w:tcW w:w="9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182"/>
        </w:trPr>
        <w:tc>
          <w:tcPr>
            <w:tcW w:w="432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rPr>
              <w:t>Advisory services, external customers</w:t>
            </w: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16,575</w:t>
            </w: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7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90" w:type="dxa"/>
            <w:vAlign w:val="bottom"/>
            <w:tcBorders>
              <w:top w:val="single" w:sz="8" w:color="DDDDDD"/>
              <w:bottom w:val="single" w:sz="8" w:color="DDDDDD"/>
            </w:tcBorders>
            <w:shd w:val="clear" w:color="auto" w:fill="DDDDDD"/>
          </w:tcPr>
          <w:p>
            <w:pPr>
              <w:spacing w:after="0"/>
              <w:rPr>
                <w:sz w:val="15"/>
                <w:szCs w:val="15"/>
                <w:color w:val="auto"/>
              </w:rPr>
            </w:pP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DDDDDD"/>
              <w:bottom w:val="single" w:sz="8" w:color="DDDDDD"/>
            </w:tcBorders>
            <w:shd w:val="clear" w:color="auto" w:fill="DDDDDD"/>
          </w:tcPr>
          <w:p>
            <w:pPr>
              <w:spacing w:after="0"/>
              <w:rPr>
                <w:sz w:val="15"/>
                <w:szCs w:val="15"/>
                <w:color w:val="auto"/>
              </w:rPr>
            </w:pP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16,575</w:t>
            </w:r>
          </w:p>
        </w:tc>
        <w:tc>
          <w:tcPr>
            <w:tcW w:w="20" w:type="dxa"/>
            <w:vAlign w:val="bottom"/>
            <w:tcBorders>
              <w:top w:val="single" w:sz="8" w:color="DDDDDD"/>
            </w:tcBorders>
          </w:tcPr>
          <w:p>
            <w:pPr>
              <w:spacing w:after="0"/>
              <w:rPr>
                <w:sz w:val="15"/>
                <w:szCs w:val="15"/>
                <w:color w:val="auto"/>
              </w:rPr>
            </w:pPr>
          </w:p>
        </w:tc>
        <w:tc>
          <w:tcPr>
            <w:tcW w:w="80" w:type="dxa"/>
            <w:vAlign w:val="bottom"/>
            <w:tcBorders>
              <w:top w:val="single" w:sz="8" w:color="DDDDDD"/>
              <w:bottom w:val="single" w:sz="8" w:color="DDDDDD"/>
            </w:tcBorders>
            <w:shd w:val="clear" w:color="auto" w:fill="DDDDDD"/>
          </w:tcPr>
          <w:p>
            <w:pPr>
              <w:spacing w:after="0"/>
              <w:rPr>
                <w:sz w:val="15"/>
                <w:szCs w:val="15"/>
                <w:color w:val="auto"/>
              </w:rPr>
            </w:pPr>
          </w:p>
        </w:tc>
      </w:tr>
      <w:tr>
        <w:trPr>
          <w:trHeight w:val="202"/>
        </w:trPr>
        <w:tc>
          <w:tcPr>
            <w:tcW w:w="4320" w:type="dxa"/>
            <w:vAlign w:val="bottom"/>
            <w:tcBorders>
              <w:bottom w:val="single" w:sz="8" w:color="DDDDDD"/>
            </w:tcBorders>
          </w:tcPr>
          <w:p>
            <w:pPr>
              <w:spacing w:after="0" w:line="202" w:lineRule="exact"/>
              <w:rPr>
                <w:sz w:val="20"/>
                <w:szCs w:val="20"/>
                <w:color w:val="auto"/>
              </w:rPr>
            </w:pPr>
            <w:r>
              <w:rPr>
                <w:rFonts w:ascii="Times New Roman" w:cs="Times New Roman" w:eastAsia="Times New Roman" w:hAnsi="Times New Roman"/>
                <w:sz w:val="18"/>
                <w:szCs w:val="18"/>
                <w:color w:val="auto"/>
              </w:rPr>
              <w:t>Advisory services, other operating segments</w:t>
            </w:r>
            <w:r>
              <w:rPr>
                <w:rFonts w:ascii="Times New Roman" w:cs="Times New Roman" w:eastAsia="Times New Roman" w:hAnsi="Times New Roman"/>
                <w:sz w:val="9"/>
                <w:szCs w:val="9"/>
                <w:color w:val="auto"/>
              </w:rPr>
              <w:t>(1)</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7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9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(189 )</w:t>
            </w:r>
          </w:p>
        </w:tc>
        <w:tc>
          <w:tcPr>
            <w:tcW w:w="1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r>
      <w:tr>
        <w:trPr>
          <w:trHeight w:val="192"/>
        </w:trPr>
        <w:tc>
          <w:tcPr>
            <w:tcW w:w="4320" w:type="dxa"/>
            <w:vAlign w:val="bottom"/>
            <w:tcBorders>
              <w:bottom w:val="single" w:sz="8" w:color="DDDDDD"/>
            </w:tcBorders>
            <w:shd w:val="clear" w:color="auto" w:fill="DDDDDD"/>
          </w:tcPr>
          <w:p>
            <w:pPr>
              <w:spacing w:after="0" w:line="193" w:lineRule="exact"/>
              <w:rPr>
                <w:sz w:val="20"/>
                <w:szCs w:val="20"/>
                <w:color w:val="auto"/>
              </w:rPr>
            </w:pPr>
            <w:r>
              <w:rPr>
                <w:rFonts w:ascii="Times New Roman" w:cs="Times New Roman" w:eastAsia="Times New Roman" w:hAnsi="Times New Roman"/>
                <w:sz w:val="18"/>
                <w:szCs w:val="18"/>
                <w:color w:val="auto"/>
              </w:rPr>
              <w:t>Interest and dividend income</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7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7,129</w:t>
            </w:r>
          </w:p>
        </w:tc>
        <w:tc>
          <w:tcPr>
            <w:tcW w:w="9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7,129</w:t>
            </w:r>
          </w:p>
        </w:tc>
        <w:tc>
          <w:tcPr>
            <w:tcW w:w="20" w:type="dxa"/>
            <w:vAlign w:val="bottom"/>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r>
      <w:tr>
        <w:trPr>
          <w:trHeight w:val="229"/>
        </w:trPr>
        <w:tc>
          <w:tcPr>
            <w:tcW w:w="4320" w:type="dxa"/>
            <w:vAlign w:val="bottom"/>
            <w:tcBorders>
              <w:bottom w:val="single" w:sz="8" w:color="auto"/>
            </w:tcBorders>
          </w:tcPr>
          <w:p>
            <w:pPr>
              <w:spacing w:after="0" w:line="204" w:lineRule="exact"/>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(4,677 )</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auto"/>
              </w:rPr>
              <w:t xml:space="preserve">(2,136 ) </w:t>
            </w:r>
            <w:r>
              <w:rPr>
                <w:rFonts w:ascii="Times New Roman" w:cs="Times New Roman" w:eastAsia="Times New Roman" w:hAnsi="Times New Roman"/>
                <w:sz w:val="19"/>
                <w:szCs w:val="19"/>
                <w:color w:val="auto"/>
                <w:vertAlign w:val="superscript"/>
              </w:rPr>
              <w:t>(2)</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(6,813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182"/>
        </w:trPr>
        <w:tc>
          <w:tcPr>
            <w:tcW w:w="432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rPr>
              <w:t>Net revenues</w:t>
            </w: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16,764</w:t>
            </w: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97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2,452</w:t>
            </w:r>
          </w:p>
        </w:tc>
        <w:tc>
          <w:tcPr>
            <w:tcW w:w="90" w:type="dxa"/>
            <w:vAlign w:val="bottom"/>
            <w:tcBorders>
              <w:top w:val="single" w:sz="8" w:color="DDDDDD"/>
              <w:bottom w:val="single" w:sz="8" w:color="DDDDDD"/>
            </w:tcBorders>
            <w:shd w:val="clear" w:color="auto" w:fill="DDDDDD"/>
          </w:tcPr>
          <w:p>
            <w:pPr>
              <w:spacing w:after="0"/>
              <w:rPr>
                <w:sz w:val="15"/>
                <w:szCs w:val="15"/>
                <w:color w:val="auto"/>
              </w:rPr>
            </w:pP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(2,136</w:t>
            </w:r>
          </w:p>
        </w:tc>
        <w:tc>
          <w:tcPr>
            <w:tcW w:w="6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80" w:type="dxa"/>
            <w:vAlign w:val="bottom"/>
            <w:tcBorders>
              <w:top w:val="single" w:sz="8" w:color="DDDDDD"/>
              <w:bottom w:val="single" w:sz="8" w:color="DDDDDD"/>
            </w:tcBorders>
            <w:shd w:val="clear" w:color="auto" w:fill="DDDDDD"/>
          </w:tcPr>
          <w:p>
            <w:pPr>
              <w:spacing w:after="0"/>
              <w:rPr>
                <w:sz w:val="15"/>
                <w:szCs w:val="15"/>
                <w:color w:val="auto"/>
              </w:rPr>
            </w:pP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80" w:type="dxa"/>
            <w:vAlign w:val="bottom"/>
            <w:tcBorders>
              <w:top w:val="single" w:sz="8" w:color="DDDDDD"/>
              <w:bottom w:val="single" w:sz="8" w:color="DDDDDD"/>
            </w:tcBorders>
            <w:shd w:val="clear" w:color="auto" w:fill="DDDDDD"/>
          </w:tcPr>
          <w:p>
            <w:pPr>
              <w:spacing w:after="0"/>
              <w:rPr>
                <w:sz w:val="15"/>
                <w:szCs w:val="15"/>
                <w:color w:val="auto"/>
              </w:rPr>
            </w:pP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16,891</w:t>
            </w:r>
          </w:p>
        </w:tc>
        <w:tc>
          <w:tcPr>
            <w:tcW w:w="20" w:type="dxa"/>
            <w:vAlign w:val="bottom"/>
            <w:tcBorders>
              <w:top w:val="single" w:sz="8" w:color="DDDDDD"/>
            </w:tcBorders>
          </w:tcPr>
          <w:p>
            <w:pPr>
              <w:spacing w:after="0"/>
              <w:rPr>
                <w:sz w:val="15"/>
                <w:szCs w:val="15"/>
                <w:color w:val="auto"/>
              </w:rPr>
            </w:pPr>
          </w:p>
        </w:tc>
        <w:tc>
          <w:tcPr>
            <w:tcW w:w="80" w:type="dxa"/>
            <w:vAlign w:val="bottom"/>
            <w:tcBorders>
              <w:top w:val="single" w:sz="8" w:color="DDDDDD"/>
              <w:bottom w:val="single" w:sz="8" w:color="DDDDDD"/>
            </w:tcBorders>
            <w:shd w:val="clear" w:color="auto" w:fill="DDDDDD"/>
          </w:tcPr>
          <w:p>
            <w:pPr>
              <w:spacing w:after="0"/>
              <w:rPr>
                <w:sz w:val="15"/>
                <w:szCs w:val="15"/>
                <w:color w:val="auto"/>
              </w:rPr>
            </w:pPr>
          </w:p>
        </w:tc>
      </w:tr>
      <w:tr>
        <w:trPr>
          <w:trHeight w:val="202"/>
        </w:trPr>
        <w:tc>
          <w:tcPr>
            <w:tcW w:w="4320" w:type="dxa"/>
            <w:vAlign w:val="bottom"/>
            <w:tcBorders>
              <w:bottom w:val="single" w:sz="8" w:color="DDDDDD"/>
            </w:tcBorders>
          </w:tcPr>
          <w:p>
            <w:pPr>
              <w:spacing w:after="0" w:line="202" w:lineRule="exact"/>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7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205</w:t>
            </w:r>
          </w:p>
        </w:tc>
        <w:tc>
          <w:tcPr>
            <w:tcW w:w="9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205</w:t>
            </w:r>
          </w:p>
        </w:tc>
        <w:tc>
          <w:tcPr>
            <w:tcW w:w="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r>
      <w:tr>
        <w:trPr>
          <w:trHeight w:val="192"/>
        </w:trPr>
        <w:tc>
          <w:tcPr>
            <w:tcW w:w="4320" w:type="dxa"/>
            <w:vAlign w:val="bottom"/>
            <w:tcBorders>
              <w:bottom w:val="single" w:sz="8" w:color="DDDDDD"/>
            </w:tcBorders>
            <w:shd w:val="clear" w:color="auto" w:fill="DDDDDD"/>
          </w:tcPr>
          <w:p>
            <w:pPr>
              <w:spacing w:after="0" w:line="193"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9"/>
                <w:szCs w:val="9"/>
                <w:color w:val="auto"/>
              </w:rPr>
              <w:t>(3)</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(8,778</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7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(3,825</w:t>
            </w:r>
          </w:p>
        </w:tc>
        <w:tc>
          <w:tcPr>
            <w:tcW w:w="9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(12,603</w:t>
            </w:r>
          </w:p>
        </w:tc>
        <w:tc>
          <w:tcPr>
            <w:tcW w:w="20" w:type="dxa"/>
            <w:vAlign w:val="bottom"/>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8"/>
                <w:szCs w:val="8"/>
                <w:color w:val="auto"/>
                <w:highlight w:val="lightGray"/>
                <w:w w:val="73"/>
              </w:rPr>
              <w:t>)</w:t>
            </w:r>
          </w:p>
        </w:tc>
      </w:tr>
      <w:tr>
        <w:trPr>
          <w:trHeight w:val="229"/>
        </w:trPr>
        <w:tc>
          <w:tcPr>
            <w:tcW w:w="4320" w:type="dxa"/>
            <w:vAlign w:val="bottom"/>
            <w:tcBorders>
              <w:bottom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Intercompany expenses</w:t>
            </w:r>
            <w:r>
              <w:rPr>
                <w:rFonts w:ascii="Times New Roman" w:cs="Times New Roman" w:eastAsia="Times New Roman" w:hAnsi="Times New Roman"/>
                <w:sz w:val="9"/>
                <w:szCs w:val="9"/>
                <w:color w:val="auto"/>
              </w:rPr>
              <w:t>(1)</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(189 )</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r>
      <w:tr>
        <w:trPr>
          <w:trHeight w:val="204"/>
        </w:trPr>
        <w:tc>
          <w:tcPr>
            <w:tcW w:w="4320" w:type="dxa"/>
            <w:vAlign w:val="bottom"/>
            <w:tcBorders>
              <w:top w:val="single" w:sz="8" w:color="DDDDDD"/>
              <w:bottom w:val="single" w:sz="8" w:color="DDDDDD"/>
            </w:tcBorders>
            <w:shd w:val="clear" w:color="auto" w:fill="DDDDDD"/>
          </w:tcPr>
          <w:p>
            <w:pPr>
              <w:spacing w:after="0" w:line="181" w:lineRule="exact"/>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rPr>
              <w:t>7,986</w:t>
            </w: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7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rPr>
              <w:t>(1,357</w:t>
            </w:r>
          </w:p>
        </w:tc>
        <w:tc>
          <w:tcPr>
            <w:tcW w:w="9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rPr>
              <w:t>(2,136</w:t>
            </w:r>
          </w:p>
        </w:tc>
        <w:tc>
          <w:tcPr>
            <w:tcW w:w="6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top w:val="single" w:sz="8" w:color="DDDDDD"/>
              <w:bottom w:val="single" w:sz="8" w:color="DDDDDD"/>
            </w:tcBorders>
            <w:shd w:val="clear" w:color="auto" w:fill="DDDDDD"/>
          </w:tcPr>
          <w:p>
            <w:pPr>
              <w:spacing w:after="0"/>
              <w:rPr>
                <w:sz w:val="17"/>
                <w:szCs w:val="17"/>
                <w:color w:val="auto"/>
              </w:rPr>
            </w:pPr>
          </w:p>
        </w:tc>
        <w:tc>
          <w:tcPr>
            <w:tcW w:w="120" w:type="dxa"/>
            <w:vAlign w:val="bottom"/>
            <w:tcBorders>
              <w:top w:val="single" w:sz="8" w:color="DDDDDD"/>
              <w:bottom w:val="single" w:sz="8" w:color="DDDDDD"/>
            </w:tcBorders>
            <w:shd w:val="clear" w:color="auto" w:fill="DDDDDD"/>
          </w:tcPr>
          <w:p>
            <w:pPr>
              <w:spacing w:after="0"/>
              <w:rPr>
                <w:sz w:val="17"/>
                <w:szCs w:val="17"/>
                <w:color w:val="auto"/>
              </w:rPr>
            </w:pPr>
          </w:p>
        </w:tc>
        <w:tc>
          <w:tcPr>
            <w:tcW w:w="8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98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120" w:type="dxa"/>
            <w:vAlign w:val="bottom"/>
            <w:tcBorders>
              <w:top w:val="single" w:sz="8" w:color="DDDDDD"/>
              <w:bottom w:val="single" w:sz="8" w:color="DDDDDD"/>
            </w:tcBorders>
            <w:shd w:val="clear" w:color="auto" w:fill="DDDDDD"/>
          </w:tcPr>
          <w:p>
            <w:pPr>
              <w:spacing w:after="0"/>
              <w:rPr>
                <w:sz w:val="17"/>
                <w:szCs w:val="17"/>
                <w:color w:val="auto"/>
              </w:rPr>
            </w:pPr>
          </w:p>
        </w:tc>
        <w:tc>
          <w:tcPr>
            <w:tcW w:w="8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98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8"/>
                <w:szCs w:val="18"/>
                <w:color w:val="auto"/>
              </w:rPr>
              <w:t>4,493</w:t>
            </w:r>
          </w:p>
        </w:tc>
        <w:tc>
          <w:tcPr>
            <w:tcW w:w="20" w:type="dxa"/>
            <w:vAlign w:val="bottom"/>
            <w:tcBorders>
              <w:top w:val="single" w:sz="8" w:color="DDDDDD"/>
            </w:tcBorders>
          </w:tcPr>
          <w:p>
            <w:pPr>
              <w:spacing w:after="0"/>
              <w:rPr>
                <w:sz w:val="17"/>
                <w:szCs w:val="17"/>
                <w:color w:val="auto"/>
              </w:rPr>
            </w:pPr>
          </w:p>
        </w:tc>
        <w:tc>
          <w:tcPr>
            <w:tcW w:w="80" w:type="dxa"/>
            <w:vAlign w:val="bottom"/>
            <w:tcBorders>
              <w:top w:val="single" w:sz="8" w:color="DDDDDD"/>
              <w:bottom w:val="single" w:sz="8" w:color="DDDDDD"/>
            </w:tcBorders>
            <w:shd w:val="clear" w:color="auto" w:fill="DDDDDD"/>
          </w:tcPr>
          <w:p>
            <w:pPr>
              <w:spacing w:after="0"/>
              <w:rPr>
                <w:sz w:val="17"/>
                <w:szCs w:val="17"/>
                <w:color w:val="auto"/>
              </w:rPr>
            </w:pPr>
          </w:p>
        </w:tc>
      </w:tr>
      <w:tr>
        <w:trPr>
          <w:trHeight w:val="20"/>
        </w:trPr>
        <w:tc>
          <w:tcPr>
            <w:tcW w:w="4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97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r>
        <w:trPr>
          <w:trHeight w:val="215"/>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Year-end assets</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7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120,751</w:t>
            </w:r>
          </w:p>
        </w:tc>
        <w:tc>
          <w:tcPr>
            <w:tcW w:w="9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129,694</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70" w:type="dxa"/>
            <w:vAlign w:val="bottom"/>
            <w:tcBorders>
              <w:bottom w:val="single" w:sz="8" w:color="auto"/>
            </w:tcBorders>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-1612265</wp:posOffset>
                </wp:positionV>
                <wp:extent cx="6858000"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26.9499pt" to="540.2pt,-126.9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-173355</wp:posOffset>
                </wp:positionV>
                <wp:extent cx="6858000"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3.6499pt" to="540.2pt,-13.6499pt" o:allowincell="f" strokecolor="#FFFFFF" strokeweight="0.1399pt"/>
            </w:pict>
          </mc:Fallback>
        </mc:AlternateConten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Asset</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Investment</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r>
      <w:tr>
        <w:trPr>
          <w:trHeight w:val="235"/>
        </w:trPr>
        <w:tc>
          <w:tcPr>
            <w:tcW w:w="4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Management</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Portfolio</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5"/>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181"/>
        </w:trPr>
        <w:tc>
          <w:tcPr>
            <w:tcW w:w="432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rPr>
              <w:t>Advisory services, external customers</w:t>
            </w: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12,784</w:t>
            </w: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6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DDDDDD"/>
              <w:bottom w:val="single" w:sz="8" w:color="DDDDDD"/>
            </w:tcBorders>
            <w:shd w:val="clear" w:color="auto" w:fill="DDDDDD"/>
          </w:tcPr>
          <w:p>
            <w:pPr>
              <w:spacing w:after="0"/>
              <w:rPr>
                <w:sz w:val="15"/>
                <w:szCs w:val="15"/>
                <w:color w:val="auto"/>
              </w:rPr>
            </w:pP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8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80" w:type="dxa"/>
            <w:vAlign w:val="bottom"/>
            <w:tcBorders>
              <w:top w:val="single" w:sz="8" w:color="DDDDDD"/>
              <w:bottom w:val="single" w:sz="8" w:color="DDDDDD"/>
            </w:tcBorders>
            <w:shd w:val="clear" w:color="auto" w:fill="DDDDDD"/>
          </w:tcPr>
          <w:p>
            <w:pPr>
              <w:jc w:val="right"/>
              <w:spacing w:after="0" w:line="181"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12,784</w:t>
            </w:r>
          </w:p>
        </w:tc>
        <w:tc>
          <w:tcPr>
            <w:tcW w:w="20" w:type="dxa"/>
            <w:vAlign w:val="bottom"/>
            <w:tcBorders>
              <w:top w:val="single" w:sz="8" w:color="DDDDDD"/>
            </w:tcBorders>
          </w:tcPr>
          <w:p>
            <w:pPr>
              <w:spacing w:after="0"/>
              <w:rPr>
                <w:sz w:val="15"/>
                <w:szCs w:val="15"/>
                <w:color w:val="auto"/>
              </w:rPr>
            </w:pPr>
          </w:p>
        </w:tc>
        <w:tc>
          <w:tcPr>
            <w:tcW w:w="80" w:type="dxa"/>
            <w:vAlign w:val="bottom"/>
            <w:tcBorders>
              <w:top w:val="single" w:sz="8" w:color="DDDDDD"/>
              <w:bottom w:val="single" w:sz="8" w:color="DDDDDD"/>
            </w:tcBorders>
            <w:shd w:val="clear" w:color="auto" w:fill="DDDDDD"/>
          </w:tcPr>
          <w:p>
            <w:pPr>
              <w:spacing w:after="0"/>
              <w:rPr>
                <w:sz w:val="15"/>
                <w:szCs w:val="15"/>
                <w:color w:val="auto"/>
              </w:rPr>
            </w:pPr>
          </w:p>
        </w:tc>
      </w:tr>
      <w:tr>
        <w:trPr>
          <w:trHeight w:val="201"/>
        </w:trPr>
        <w:tc>
          <w:tcPr>
            <w:tcW w:w="432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rPr>
              <w:t>Advisory services, other operating segments</w:t>
            </w:r>
            <w:r>
              <w:rPr>
                <w:rFonts w:ascii="Times New Roman" w:cs="Times New Roman" w:eastAsia="Times New Roman" w:hAnsi="Times New Roman"/>
                <w:sz w:val="9"/>
                <w:szCs w:val="9"/>
                <w:color w:val="auto"/>
              </w:rPr>
              <w:t>(1)</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6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(145 )</w:t>
            </w:r>
          </w:p>
        </w:tc>
        <w:tc>
          <w:tcPr>
            <w:tcW w:w="1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r>
      <w:tr>
        <w:trPr>
          <w:trHeight w:val="192"/>
        </w:trPr>
        <w:tc>
          <w:tcPr>
            <w:tcW w:w="4320" w:type="dxa"/>
            <w:vAlign w:val="bottom"/>
            <w:tcBorders>
              <w:bottom w:val="single" w:sz="8" w:color="DDDDDD"/>
            </w:tcBorders>
            <w:shd w:val="clear" w:color="auto" w:fill="DDDDDD"/>
          </w:tcPr>
          <w:p>
            <w:pPr>
              <w:spacing w:after="0" w:line="193" w:lineRule="exact"/>
              <w:rPr>
                <w:sz w:val="20"/>
                <w:szCs w:val="20"/>
                <w:color w:val="auto"/>
              </w:rPr>
            </w:pPr>
            <w:r>
              <w:rPr>
                <w:rFonts w:ascii="Times New Roman" w:cs="Times New Roman" w:eastAsia="Times New Roman" w:hAnsi="Times New Roman"/>
                <w:sz w:val="18"/>
                <w:szCs w:val="18"/>
                <w:color w:val="auto"/>
              </w:rPr>
              <w:t>Interest and dividend income</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6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6,657</w:t>
            </w:r>
          </w:p>
        </w:tc>
        <w:tc>
          <w:tcPr>
            <w:tcW w:w="10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8"/>
                <w:szCs w:val="18"/>
                <w:color w:val="auto"/>
              </w:rPr>
              <w:t>6,658</w:t>
            </w:r>
          </w:p>
        </w:tc>
        <w:tc>
          <w:tcPr>
            <w:tcW w:w="20" w:type="dxa"/>
            <w:vAlign w:val="bottom"/>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r>
      <w:tr>
        <w:trPr>
          <w:trHeight w:val="231"/>
        </w:trPr>
        <w:tc>
          <w:tcPr>
            <w:tcW w:w="4320" w:type="dxa"/>
            <w:vAlign w:val="bottom"/>
            <w:tcBorders>
              <w:bottom w:val="single" w:sz="8" w:color="auto"/>
            </w:tcBorders>
          </w:tcPr>
          <w:p>
            <w:pPr>
              <w:spacing w:after="0" w:line="206" w:lineRule="exact"/>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(5,140 )</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line="206" w:lineRule="exact"/>
              <w:rPr>
                <w:sz w:val="20"/>
                <w:szCs w:val="20"/>
                <w:color w:val="auto"/>
              </w:rPr>
            </w:pPr>
            <w:r>
              <w:rPr>
                <w:rFonts w:ascii="Times New Roman" w:cs="Times New Roman" w:eastAsia="Times New Roman" w:hAnsi="Times New Roman"/>
                <w:sz w:val="18"/>
                <w:szCs w:val="18"/>
                <w:color w:val="auto"/>
              </w:rPr>
              <w:t xml:space="preserve">(2,401 ) </w:t>
            </w:r>
            <w:r>
              <w:rPr>
                <w:rFonts w:ascii="Times New Roman" w:cs="Times New Roman" w:eastAsia="Times New Roman" w:hAnsi="Times New Roman"/>
                <w:sz w:val="9"/>
                <w:szCs w:val="9"/>
                <w:color w:val="auto"/>
              </w:rPr>
              <w:t>(2)</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(7,541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182"/>
        </w:trPr>
        <w:tc>
          <w:tcPr>
            <w:tcW w:w="4320" w:type="dxa"/>
            <w:vAlign w:val="bottom"/>
            <w:tcBorders>
              <w:top w:val="single" w:sz="8" w:color="DDDDDD"/>
              <w:bottom w:val="single" w:sz="8" w:color="DDDDDD"/>
            </w:tcBorders>
            <w:shd w:val="clear" w:color="auto" w:fill="DDDDDD"/>
          </w:tcPr>
          <w:p>
            <w:pPr>
              <w:spacing w:after="0" w:line="182" w:lineRule="exact"/>
              <w:rPr>
                <w:sz w:val="20"/>
                <w:szCs w:val="20"/>
                <w:color w:val="auto"/>
              </w:rPr>
            </w:pPr>
            <w:r>
              <w:rPr>
                <w:rFonts w:ascii="Times New Roman" w:cs="Times New Roman" w:eastAsia="Times New Roman" w:hAnsi="Times New Roman"/>
                <w:sz w:val="18"/>
                <w:szCs w:val="18"/>
                <w:color w:val="auto"/>
              </w:rPr>
              <w:t>Net revenues</w:t>
            </w: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12,929</w:t>
            </w: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96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1,517</w:t>
            </w: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DDDDDD"/>
              <w:bottom w:val="single" w:sz="8" w:color="DDDDDD"/>
            </w:tcBorders>
            <w:shd w:val="clear" w:color="auto" w:fill="DDDDDD"/>
          </w:tcPr>
          <w:p>
            <w:pPr>
              <w:spacing w:after="0"/>
              <w:rPr>
                <w:sz w:val="15"/>
                <w:szCs w:val="15"/>
                <w:color w:val="auto"/>
              </w:rPr>
            </w:pP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(2,400</w:t>
            </w:r>
          </w:p>
        </w:tc>
        <w:tc>
          <w:tcPr>
            <w:tcW w:w="6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80" w:type="dxa"/>
            <w:vAlign w:val="bottom"/>
            <w:tcBorders>
              <w:top w:val="single" w:sz="8" w:color="DDDDDD"/>
              <w:bottom w:val="single" w:sz="8" w:color="DDDDDD"/>
            </w:tcBorders>
            <w:shd w:val="clear" w:color="auto" w:fill="DDDDDD"/>
          </w:tcPr>
          <w:p>
            <w:pPr>
              <w:spacing w:after="0"/>
              <w:rPr>
                <w:sz w:val="15"/>
                <w:szCs w:val="15"/>
                <w:color w:val="auto"/>
              </w:rPr>
            </w:pP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top w:val="single" w:sz="8" w:color="DDDDDD"/>
              <w:bottom w:val="single" w:sz="8" w:color="DDDDDD"/>
            </w:tcBorders>
            <w:shd w:val="clear" w:color="auto" w:fill="DDDDDD"/>
          </w:tcPr>
          <w:p>
            <w:pPr>
              <w:spacing w:after="0"/>
              <w:rPr>
                <w:sz w:val="15"/>
                <w:szCs w:val="15"/>
                <w:color w:val="auto"/>
              </w:rPr>
            </w:pPr>
          </w:p>
        </w:tc>
        <w:tc>
          <w:tcPr>
            <w:tcW w:w="80" w:type="dxa"/>
            <w:vAlign w:val="bottom"/>
            <w:tcBorders>
              <w:top w:val="single" w:sz="8" w:color="DDDDDD"/>
              <w:bottom w:val="single" w:sz="8" w:color="DDDDDD"/>
            </w:tcBorders>
            <w:shd w:val="clear" w:color="auto" w:fill="DDDDDD"/>
          </w:tcPr>
          <w:p>
            <w:pPr>
              <w:spacing w:after="0"/>
              <w:rPr>
                <w:sz w:val="15"/>
                <w:szCs w:val="15"/>
                <w:color w:val="auto"/>
              </w:rPr>
            </w:pPr>
          </w:p>
        </w:tc>
        <w:tc>
          <w:tcPr>
            <w:tcW w:w="980" w:type="dxa"/>
            <w:vAlign w:val="bottom"/>
            <w:tcBorders>
              <w:top w:val="single" w:sz="8" w:color="DDDDDD"/>
              <w:bottom w:val="single" w:sz="8" w:color="DDDDDD"/>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8"/>
                <w:szCs w:val="18"/>
                <w:color w:val="auto"/>
              </w:rPr>
              <w:t>11,901</w:t>
            </w:r>
          </w:p>
        </w:tc>
        <w:tc>
          <w:tcPr>
            <w:tcW w:w="20" w:type="dxa"/>
            <w:vAlign w:val="bottom"/>
            <w:tcBorders>
              <w:top w:val="single" w:sz="8" w:color="DDDDDD"/>
            </w:tcBorders>
          </w:tcPr>
          <w:p>
            <w:pPr>
              <w:spacing w:after="0"/>
              <w:rPr>
                <w:sz w:val="15"/>
                <w:szCs w:val="15"/>
                <w:color w:val="auto"/>
              </w:rPr>
            </w:pPr>
          </w:p>
        </w:tc>
        <w:tc>
          <w:tcPr>
            <w:tcW w:w="80" w:type="dxa"/>
            <w:vAlign w:val="bottom"/>
            <w:tcBorders>
              <w:top w:val="single" w:sz="8" w:color="DDDDDD"/>
              <w:bottom w:val="single" w:sz="8" w:color="DDDDDD"/>
            </w:tcBorders>
            <w:shd w:val="clear" w:color="auto" w:fill="DDDDDD"/>
          </w:tcPr>
          <w:p>
            <w:pPr>
              <w:spacing w:after="0"/>
              <w:rPr>
                <w:sz w:val="15"/>
                <w:szCs w:val="15"/>
                <w:color w:val="auto"/>
              </w:rPr>
            </w:pPr>
          </w:p>
        </w:tc>
      </w:tr>
      <w:tr>
        <w:trPr>
          <w:trHeight w:val="202"/>
        </w:trPr>
        <w:tc>
          <w:tcPr>
            <w:tcW w:w="4320" w:type="dxa"/>
            <w:vAlign w:val="bottom"/>
            <w:tcBorders>
              <w:bottom w:val="single" w:sz="8" w:color="DDDDDD"/>
            </w:tcBorders>
          </w:tcPr>
          <w:p>
            <w:pPr>
              <w:spacing w:after="0" w:line="202" w:lineRule="exact"/>
              <w:rPr>
                <w:sz w:val="20"/>
                <w:szCs w:val="20"/>
                <w:color w:val="auto"/>
              </w:rPr>
            </w:pPr>
            <w:r>
              <w:rPr>
                <w:rFonts w:ascii="Times New Roman" w:cs="Times New Roman" w:eastAsia="Times New Roman" w:hAnsi="Times New Roman"/>
                <w:sz w:val="18"/>
                <w:szCs w:val="18"/>
                <w:color w:val="auto"/>
              </w:rPr>
              <w:t>Other (expense) income</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6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1,167</w:t>
            </w:r>
          </w:p>
        </w:tc>
        <w:tc>
          <w:tcPr>
            <w:tcW w:w="10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1,167</w:t>
            </w:r>
          </w:p>
        </w:tc>
        <w:tc>
          <w:tcPr>
            <w:tcW w:w="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r>
      <w:tr>
        <w:trPr>
          <w:trHeight w:val="191"/>
        </w:trPr>
        <w:tc>
          <w:tcPr>
            <w:tcW w:w="432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9"/>
                <w:szCs w:val="9"/>
                <w:color w:val="auto"/>
              </w:rPr>
              <w:t>(3)</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(7,241</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(4,016</w:t>
            </w:r>
          </w:p>
        </w:tc>
        <w:tc>
          <w:tcPr>
            <w:tcW w:w="10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99"/>
              </w:rPr>
              <w:t>)</w:t>
            </w: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(11,258</w:t>
            </w:r>
          </w:p>
        </w:tc>
        <w:tc>
          <w:tcPr>
            <w:tcW w:w="20" w:type="dxa"/>
            <w:vAlign w:val="bottom"/>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8"/>
                <w:szCs w:val="8"/>
                <w:color w:val="auto"/>
                <w:highlight w:val="lightGray"/>
                <w:w w:val="73"/>
              </w:rPr>
              <w:t>)</w:t>
            </w:r>
          </w:p>
        </w:tc>
      </w:tr>
      <w:tr>
        <w:trPr>
          <w:trHeight w:val="231"/>
        </w:trPr>
        <w:tc>
          <w:tcPr>
            <w:tcW w:w="4320" w:type="dxa"/>
            <w:vAlign w:val="bottom"/>
            <w:tcBorders>
              <w:bottom w:val="single" w:sz="8" w:color="auto"/>
            </w:tcBorders>
          </w:tcPr>
          <w:p>
            <w:pPr>
              <w:spacing w:after="0" w:line="206" w:lineRule="exact"/>
              <w:rPr>
                <w:sz w:val="20"/>
                <w:szCs w:val="20"/>
                <w:color w:val="auto"/>
              </w:rPr>
            </w:pPr>
            <w:r>
              <w:rPr>
                <w:rFonts w:ascii="Times New Roman" w:cs="Times New Roman" w:eastAsia="Times New Roman" w:hAnsi="Times New Roman"/>
                <w:sz w:val="18"/>
                <w:szCs w:val="18"/>
                <w:color w:val="auto"/>
              </w:rPr>
              <w:t>Intercompany expenses</w:t>
            </w:r>
            <w:r>
              <w:rPr>
                <w:rFonts w:ascii="Times New Roman" w:cs="Times New Roman" w:eastAsia="Times New Roman" w:hAnsi="Times New Roman"/>
                <w:sz w:val="9"/>
                <w:szCs w:val="9"/>
                <w:color w:val="auto"/>
              </w:rPr>
              <w:t>(1)</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r>
      <w:tr>
        <w:trPr>
          <w:trHeight w:val="204"/>
        </w:trPr>
        <w:tc>
          <w:tcPr>
            <w:tcW w:w="4320" w:type="dxa"/>
            <w:vAlign w:val="bottom"/>
            <w:tcBorders>
              <w:top w:val="single" w:sz="8" w:color="DDDDDD"/>
              <w:bottom w:val="single" w:sz="8" w:color="DDDDDD"/>
            </w:tcBorders>
            <w:shd w:val="clear" w:color="auto" w:fill="DDDDDD"/>
          </w:tcPr>
          <w:p>
            <w:pPr>
              <w:spacing w:after="0" w:line="180" w:lineRule="exact"/>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0"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shd w:val="clear" w:color="auto" w:fill="DDDDDD"/>
          </w:tcPr>
          <w:p>
            <w:pPr>
              <w:jc w:val="right"/>
              <w:spacing w:after="0" w:line="180" w:lineRule="exact"/>
              <w:rPr>
                <w:sz w:val="20"/>
                <w:szCs w:val="20"/>
                <w:color w:val="auto"/>
              </w:rPr>
            </w:pPr>
            <w:r>
              <w:rPr>
                <w:rFonts w:ascii="Times New Roman" w:cs="Times New Roman" w:eastAsia="Times New Roman" w:hAnsi="Times New Roman"/>
                <w:sz w:val="18"/>
                <w:szCs w:val="18"/>
                <w:color w:val="auto"/>
              </w:rPr>
              <w:t>5,688</w:t>
            </w: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0"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60" w:type="dxa"/>
            <w:vAlign w:val="bottom"/>
            <w:tcBorders>
              <w:top w:val="single" w:sz="8" w:color="DDDDDD"/>
              <w:bottom w:val="single" w:sz="8" w:color="DDDDDD"/>
            </w:tcBorders>
            <w:shd w:val="clear" w:color="auto" w:fill="DDDDDD"/>
          </w:tcPr>
          <w:p>
            <w:pPr>
              <w:jc w:val="right"/>
              <w:spacing w:after="0" w:line="180" w:lineRule="exact"/>
              <w:rPr>
                <w:sz w:val="20"/>
                <w:szCs w:val="20"/>
                <w:color w:val="auto"/>
              </w:rPr>
            </w:pPr>
            <w:r>
              <w:rPr>
                <w:rFonts w:ascii="Times New Roman" w:cs="Times New Roman" w:eastAsia="Times New Roman" w:hAnsi="Times New Roman"/>
                <w:sz w:val="18"/>
                <w:szCs w:val="18"/>
                <w:color w:val="auto"/>
              </w:rPr>
              <w:t>(1,477</w:t>
            </w:r>
          </w:p>
        </w:tc>
        <w:tc>
          <w:tcPr>
            <w:tcW w:w="100" w:type="dxa"/>
            <w:vAlign w:val="bottom"/>
            <w:tcBorders>
              <w:top w:val="single" w:sz="8" w:color="DDDDDD"/>
              <w:bottom w:val="single" w:sz="8" w:color="DDDDDD"/>
            </w:tcBorders>
            <w:shd w:val="clear" w:color="auto" w:fill="DDDDDD"/>
          </w:tcPr>
          <w:p>
            <w:pPr>
              <w:jc w:val="right"/>
              <w:spacing w:after="0" w:line="180" w:lineRule="exact"/>
              <w:rPr>
                <w:sz w:val="20"/>
                <w:szCs w:val="20"/>
                <w:color w:val="auto"/>
              </w:rPr>
            </w:pPr>
            <w:r>
              <w:rPr>
                <w:rFonts w:ascii="Times New Roman" w:cs="Times New Roman" w:eastAsia="Times New Roman" w:hAnsi="Times New Roman"/>
                <w:sz w:val="18"/>
                <w:szCs w:val="18"/>
                <w:color w:val="auto"/>
                <w:highlight w:val="lightGray"/>
                <w:w w:val="99"/>
              </w:rPr>
              <w:t>)</w:t>
            </w:r>
          </w:p>
        </w:tc>
        <w:tc>
          <w:tcPr>
            <w:tcW w:w="12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jc w:val="right"/>
              <w:spacing w:after="0" w:line="180"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top w:val="single" w:sz="8" w:color="DDDDDD"/>
              <w:bottom w:val="single" w:sz="8" w:color="DDDDDD"/>
            </w:tcBorders>
            <w:shd w:val="clear" w:color="auto" w:fill="DDDDDD"/>
          </w:tcPr>
          <w:p>
            <w:pPr>
              <w:jc w:val="right"/>
              <w:spacing w:after="0" w:line="180" w:lineRule="exact"/>
              <w:rPr>
                <w:sz w:val="20"/>
                <w:szCs w:val="20"/>
                <w:color w:val="auto"/>
              </w:rPr>
            </w:pPr>
            <w:r>
              <w:rPr>
                <w:rFonts w:ascii="Times New Roman" w:cs="Times New Roman" w:eastAsia="Times New Roman" w:hAnsi="Times New Roman"/>
                <w:sz w:val="18"/>
                <w:szCs w:val="18"/>
                <w:color w:val="auto"/>
              </w:rPr>
              <w:t>(2,401</w:t>
            </w:r>
          </w:p>
        </w:tc>
        <w:tc>
          <w:tcPr>
            <w:tcW w:w="60" w:type="dxa"/>
            <w:vAlign w:val="bottom"/>
            <w:tcBorders>
              <w:top w:val="single" w:sz="8" w:color="DDDDDD"/>
              <w:bottom w:val="single" w:sz="8" w:color="DDDDDD"/>
            </w:tcBorders>
            <w:shd w:val="clear" w:color="auto" w:fill="DDDDDD"/>
          </w:tcPr>
          <w:p>
            <w:pPr>
              <w:jc w:val="right"/>
              <w:spacing w:after="0" w:line="180" w:lineRule="exact"/>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top w:val="single" w:sz="8" w:color="DDDDDD"/>
              <w:bottom w:val="single" w:sz="8" w:color="DDDDDD"/>
            </w:tcBorders>
            <w:shd w:val="clear" w:color="auto" w:fill="DDDDDD"/>
          </w:tcPr>
          <w:p>
            <w:pPr>
              <w:spacing w:after="0"/>
              <w:rPr>
                <w:sz w:val="17"/>
                <w:szCs w:val="17"/>
                <w:color w:val="auto"/>
              </w:rPr>
            </w:pPr>
          </w:p>
        </w:tc>
        <w:tc>
          <w:tcPr>
            <w:tcW w:w="120" w:type="dxa"/>
            <w:vAlign w:val="bottom"/>
            <w:tcBorders>
              <w:top w:val="single" w:sz="8" w:color="DDDDDD"/>
              <w:bottom w:val="single" w:sz="8" w:color="DDDDDD"/>
            </w:tcBorders>
            <w:shd w:val="clear" w:color="auto" w:fill="DDDDDD"/>
          </w:tcPr>
          <w:p>
            <w:pPr>
              <w:spacing w:after="0"/>
              <w:rPr>
                <w:sz w:val="17"/>
                <w:szCs w:val="17"/>
                <w:color w:val="auto"/>
              </w:rPr>
            </w:pPr>
          </w:p>
        </w:tc>
        <w:tc>
          <w:tcPr>
            <w:tcW w:w="80" w:type="dxa"/>
            <w:vAlign w:val="bottom"/>
            <w:tcBorders>
              <w:top w:val="single" w:sz="8" w:color="DDDDDD"/>
              <w:bottom w:val="single" w:sz="8" w:color="DDDDDD"/>
            </w:tcBorders>
            <w:shd w:val="clear" w:color="auto" w:fill="DDDDDD"/>
          </w:tcPr>
          <w:p>
            <w:pPr>
              <w:jc w:val="right"/>
              <w:spacing w:after="0" w:line="180"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980" w:type="dxa"/>
            <w:vAlign w:val="bottom"/>
            <w:tcBorders>
              <w:top w:val="single" w:sz="8" w:color="DDDDDD"/>
              <w:bottom w:val="single" w:sz="8" w:color="DDDDDD"/>
            </w:tcBorders>
            <w:shd w:val="clear" w:color="auto" w:fill="DDDDDD"/>
          </w:tcPr>
          <w:p>
            <w:pPr>
              <w:jc w:val="right"/>
              <w:spacing w:after="0" w:line="18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120" w:type="dxa"/>
            <w:vAlign w:val="bottom"/>
            <w:tcBorders>
              <w:top w:val="single" w:sz="8" w:color="DDDDDD"/>
              <w:bottom w:val="single" w:sz="8" w:color="DDDDDD"/>
            </w:tcBorders>
            <w:shd w:val="clear" w:color="auto" w:fill="DDDDDD"/>
          </w:tcPr>
          <w:p>
            <w:pPr>
              <w:spacing w:after="0"/>
              <w:rPr>
                <w:sz w:val="17"/>
                <w:szCs w:val="17"/>
                <w:color w:val="auto"/>
              </w:rPr>
            </w:pPr>
          </w:p>
        </w:tc>
        <w:tc>
          <w:tcPr>
            <w:tcW w:w="80" w:type="dxa"/>
            <w:vAlign w:val="bottom"/>
            <w:tcBorders>
              <w:top w:val="single" w:sz="8" w:color="DDDDDD"/>
              <w:bottom w:val="single" w:sz="8" w:color="DDDDDD"/>
            </w:tcBorders>
            <w:shd w:val="clear" w:color="auto" w:fill="DDDDDD"/>
          </w:tcPr>
          <w:p>
            <w:pPr>
              <w:jc w:val="right"/>
              <w:spacing w:after="0" w:line="180"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980" w:type="dxa"/>
            <w:vAlign w:val="bottom"/>
            <w:tcBorders>
              <w:top w:val="single" w:sz="8" w:color="DDDDDD"/>
              <w:bottom w:val="single" w:sz="8" w:color="DDDDDD"/>
            </w:tcBorders>
            <w:shd w:val="clear" w:color="auto" w:fill="DDDDDD"/>
          </w:tcPr>
          <w:p>
            <w:pPr>
              <w:jc w:val="right"/>
              <w:spacing w:after="0" w:line="180" w:lineRule="exact"/>
              <w:rPr>
                <w:sz w:val="20"/>
                <w:szCs w:val="20"/>
                <w:color w:val="auto"/>
              </w:rPr>
            </w:pPr>
            <w:r>
              <w:rPr>
                <w:rFonts w:ascii="Times New Roman" w:cs="Times New Roman" w:eastAsia="Times New Roman" w:hAnsi="Times New Roman"/>
                <w:sz w:val="18"/>
                <w:szCs w:val="18"/>
                <w:color w:val="auto"/>
              </w:rPr>
              <w:t>1,810</w:t>
            </w:r>
          </w:p>
        </w:tc>
        <w:tc>
          <w:tcPr>
            <w:tcW w:w="20" w:type="dxa"/>
            <w:vAlign w:val="bottom"/>
            <w:tcBorders>
              <w:top w:val="single" w:sz="8" w:color="DDDDDD"/>
            </w:tcBorders>
          </w:tcPr>
          <w:p>
            <w:pPr>
              <w:spacing w:after="0"/>
              <w:rPr>
                <w:sz w:val="17"/>
                <w:szCs w:val="17"/>
                <w:color w:val="auto"/>
              </w:rPr>
            </w:pPr>
          </w:p>
        </w:tc>
        <w:tc>
          <w:tcPr>
            <w:tcW w:w="80" w:type="dxa"/>
            <w:vAlign w:val="bottom"/>
            <w:tcBorders>
              <w:top w:val="single" w:sz="8" w:color="DDDDDD"/>
              <w:bottom w:val="single" w:sz="8" w:color="DDDDDD"/>
            </w:tcBorders>
            <w:shd w:val="clear" w:color="auto" w:fill="DDDDDD"/>
          </w:tcPr>
          <w:p>
            <w:pPr>
              <w:spacing w:after="0"/>
              <w:rPr>
                <w:sz w:val="17"/>
                <w:szCs w:val="17"/>
                <w:color w:val="auto"/>
              </w:rPr>
            </w:pPr>
          </w:p>
        </w:tc>
      </w:tr>
      <w:tr>
        <w:trPr>
          <w:trHeight w:val="20"/>
        </w:trPr>
        <w:tc>
          <w:tcPr>
            <w:tcW w:w="4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r>
        <w:trPr>
          <w:trHeight w:val="216"/>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Year-end assets</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146,714</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154,854</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-1612265</wp:posOffset>
                </wp:positionV>
                <wp:extent cx="6858000"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26.9499pt" to="540.2pt,-126.9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-173990</wp:posOffset>
                </wp:positionV>
                <wp:extent cx="6858000"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3.6999pt" to="540.2pt,-13.6999pt" o:allowincell="f" strokecolor="#FFFFFF" strokeweight="0.1399pt"/>
            </w:pict>
          </mc:Fallback>
        </mc:AlternateContent>
      </w:r>
    </w:p>
    <w:p>
      <w:pPr>
        <w:spacing w:after="0" w:line="197" w:lineRule="exact"/>
        <w:rPr>
          <w:sz w:val="20"/>
          <w:szCs w:val="20"/>
          <w:color w:val="auto"/>
        </w:rPr>
      </w:pPr>
    </w:p>
    <w:p>
      <w:pPr>
        <w:ind w:left="360" w:right="300" w:hanging="350"/>
        <w:spacing w:after="0" w:line="259" w:lineRule="auto"/>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fees paid by Royal Palm to Bimini Advisors for advisory services at an annualized rate of 1.5% of capital allocated to Royal Palm's MBS portfolio.</w:t>
      </w:r>
    </w:p>
    <w:p>
      <w:pPr>
        <w:ind w:left="360" w:hanging="350"/>
        <w:spacing w:after="0"/>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on long-term debt.</w:t>
      </w:r>
    </w:p>
    <w:p>
      <w:pPr>
        <w:spacing w:after="0" w:line="10" w:lineRule="exact"/>
        <w:rPr>
          <w:rFonts w:ascii="Times New Roman" w:cs="Times New Roman" w:eastAsia="Times New Roman" w:hAnsi="Times New Roman"/>
          <w:sz w:val="18"/>
          <w:szCs w:val="18"/>
          <w:color w:val="auto"/>
        </w:rPr>
      </w:pPr>
    </w:p>
    <w:p>
      <w:pPr>
        <w:ind w:left="360" w:hanging="350"/>
        <w:spacing w:after="0"/>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expenses are allocated based on each segment’s proportional share of total revenues.</w:t>
      </w:r>
    </w:p>
    <w:p>
      <w:pPr>
        <w:spacing w:after="0" w:line="211" w:lineRule="exact"/>
        <w:rPr>
          <w:sz w:val="20"/>
          <w:szCs w:val="20"/>
          <w:color w:val="auto"/>
        </w:rPr>
      </w:pPr>
    </w:p>
    <w:p>
      <w:pPr>
        <w:ind w:right="20" w:firstLine="360"/>
        <w:spacing w:after="0" w:line="243" w:lineRule="auto"/>
        <w:rPr>
          <w:sz w:val="20"/>
          <w:szCs w:val="20"/>
          <w:color w:val="auto"/>
        </w:rPr>
      </w:pPr>
      <w:r>
        <w:rPr>
          <w:rFonts w:ascii="Times New Roman" w:cs="Times New Roman" w:eastAsia="Times New Roman" w:hAnsi="Times New Roman"/>
          <w:sz w:val="20"/>
          <w:szCs w:val="20"/>
          <w:color w:val="auto"/>
        </w:rPr>
        <w:t>If the acquisition of 80% of the fully diluted equity interests of Tom Johnson Investment Management, LLC, a registered investment adviser (“TJIM”), is completed (the “TJIM Acquisition”), the composition of the Company’s business will change both from the perspective of how its capital is deployed and how it reports its results for its operating segments. See Note 17 for a discussion of the TJIM Acquisition. The TJIM Acquisition will require the deployment of a significant portion of the Company’s capital, including all capital currently deployed into the investment portfolio with the exception of shares of Orchid. The results of TJIM going forward would represent a significant portion of the Company’s aggregate results. If the TJIM Acquisition is completed and the Company is able to generate and retain earnings going forward, the Company expects that such funds will be deployed into an Agency MBS investment portfolio, in which case they are expected to be managed more conservatively in terms of the amount of leverage employed when compared to leverage employed by the Company historically. Given the Company’s intention to retain ownership of shares of Orchid if the TJIM Acquisition closes, the Company’s operating segments would consist of the management of Orchid, the controlling stake in the operations of TJIM, and to a lesser extent its investment portfolio, for a total of three reportable segments.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16. RELATED PARTY TRANSACTIONS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Relationships with Orchid</w:t>
      </w:r>
    </w:p>
    <w:p>
      <w:pPr>
        <w:spacing w:after="0" w:line="235" w:lineRule="exact"/>
        <w:rPr>
          <w:sz w:val="20"/>
          <w:szCs w:val="20"/>
          <w:color w:val="auto"/>
        </w:rPr>
      </w:pPr>
    </w:p>
    <w:p>
      <w:pPr>
        <w:jc w:val="both"/>
        <w:ind w:right="200" w:firstLine="360"/>
        <w:spacing w:after="0" w:line="278" w:lineRule="auto"/>
        <w:rPr>
          <w:sz w:val="20"/>
          <w:szCs w:val="20"/>
          <w:color w:val="auto"/>
        </w:rPr>
      </w:pPr>
      <w:r>
        <w:rPr>
          <w:rFonts w:ascii="Times New Roman" w:cs="Times New Roman" w:eastAsia="Times New Roman" w:hAnsi="Times New Roman"/>
          <w:sz w:val="19"/>
          <w:szCs w:val="19"/>
          <w:color w:val="auto"/>
        </w:rPr>
        <w:t>As of December 31, 2025 and 2024, the Company owned shares of Orchid common stock representing approximately 0.3% and 0.7%, respectively, of Orchid’s outstanding common stock, on such dates. During the years ended December 31, 2025 and 2024, the Company received dividends on this common stock investment of approximately $0.8 million and $0.8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800"/>
          </w:cols>
          <w:pgMar w:left="720" w:top="785" w:right="720" w:bottom="135" w:gutter="0" w:footer="0" w:header="0"/>
        </w:sectPr>
      </w:pPr>
    </w:p>
    <w:bookmarkStart w:id="80" w:name="page81"/>
    <w:bookmarkEnd w:id="80"/>
    <w:p>
      <w:pPr>
        <w:ind w:firstLine="360"/>
        <w:spacing w:after="0" w:line="247" w:lineRule="auto"/>
        <w:rPr>
          <w:sz w:val="20"/>
          <w:szCs w:val="20"/>
          <w:color w:val="auto"/>
        </w:rPr>
      </w:pPr>
      <w:r>
        <w:rPr>
          <w:rFonts w:ascii="Times New Roman" w:cs="Times New Roman" w:eastAsia="Times New Roman" w:hAnsi="Times New Roman"/>
          <w:sz w:val="20"/>
          <w:szCs w:val="20"/>
          <w:color w:val="auto"/>
        </w:rPr>
        <w:t>Robert Cauley, our Chief Executive Officer and Chairman of our Board of Directors, also serves as Chief Executive Officer and Chairman of the Board of Directors of Orchid, participates in Orchid's long term incentive compensation plan, and owns shares of common stock of Orchid. Hunter Haas, our Chief Financial Officer, Chief Investment Officer, Treasurer and member of Bimini's Board of Directors, also serves as Chief Financial Officer, Chief Investment Officer and Secretary of Orchid, is a member of Orchid’s Board of Directors, participates in Orchid's long term incentive compensation plan, and owns shares of common stock of Orchid. Robert J. Dwyer, an independent director of the Company, owns shares of common stock of Orchid.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 SUBSEQUENT EVENT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Pending Acquisition of Tom Johnson Investment Management, LLC</w:t>
      </w:r>
    </w:p>
    <w:p>
      <w:pPr>
        <w:spacing w:after="0" w:line="234" w:lineRule="exact"/>
        <w:rPr>
          <w:sz w:val="20"/>
          <w:szCs w:val="20"/>
          <w:color w:val="auto"/>
        </w:rPr>
      </w:pPr>
    </w:p>
    <w:p>
      <w:pPr>
        <w:ind w:right="80" w:firstLine="360"/>
        <w:spacing w:after="0" w:line="244" w:lineRule="auto"/>
        <w:rPr>
          <w:sz w:val="20"/>
          <w:szCs w:val="20"/>
          <w:color w:val="auto"/>
        </w:rPr>
      </w:pPr>
      <w:r>
        <w:rPr>
          <w:rFonts w:ascii="Times New Roman" w:cs="Times New Roman" w:eastAsia="Times New Roman" w:hAnsi="Times New Roman"/>
          <w:sz w:val="20"/>
          <w:szCs w:val="20"/>
          <w:color w:val="auto"/>
        </w:rPr>
        <w:t>On January 13, 2026, the Company entered into a Membership Interest Purchase Agreement (the “Agreement”) in connection with the TJIM Acquisition. Following the closing contemplated by the Agreement (the “Closing”), the existing owners of TJIM will retain an ownership interest in TJIM. The purchase price to be paid in the TJIM Acquisition will equal 2.5 times 80% of TJIM’s revenue for the fiscal year ended December 31, 2025 and will be paid in cash at the Closing if the purchase price is less than or equal to $12,000,000. To the extent that the purchase price exceeds $12,000,000, the excess will be paid in three equal installments on the first, second, and third anniversaries of the Closing, plus interest at the rate of five percent (5%) per annum, compounded annually; provided, however, that if the excess is less than $1,000,000, it will be paid on or before the first anniversary of the Closing. The transaction agreement includes mutual put and call rights that could result in the Company’s acquisition of the remaining 20% equity interest retained by the existing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720"/>
          </w:cols>
          <w:pgMar w:left="720" w:top="785" w:right="800" w:bottom="135" w:gutter="0" w:footer="0" w:header="0"/>
        </w:sectPr>
      </w:pPr>
    </w:p>
    <w:bookmarkStart w:id="81" w:name="page82"/>
    <w:bookmarkEnd w:id="81"/>
    <w:p>
      <w:pPr>
        <w:ind w:right="780"/>
        <w:spacing w:after="0" w:line="287"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44" w:lineRule="exact"/>
        <w:rPr>
          <w:sz w:val="20"/>
          <w:szCs w:val="20"/>
          <w:color w:val="auto"/>
        </w:rPr>
      </w:pPr>
    </w:p>
    <w:p>
      <w:pPr>
        <w:ind w:right="360" w:firstLine="360"/>
        <w:spacing w:after="0" w:line="278" w:lineRule="auto"/>
        <w:rPr>
          <w:sz w:val="20"/>
          <w:szCs w:val="20"/>
          <w:color w:val="auto"/>
        </w:rPr>
      </w:pPr>
      <w:r>
        <w:rPr>
          <w:rFonts w:ascii="Times New Roman" w:cs="Times New Roman" w:eastAsia="Times New Roman" w:hAnsi="Times New Roman"/>
          <w:sz w:val="20"/>
          <w:szCs w:val="20"/>
          <w:color w:val="auto"/>
        </w:rPr>
        <w:t>We had no disagreements with our Independent Registered Public Accounting Firm on any matter of accounting principles or practices or financial statement disclosure.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35" w:lineRule="exact"/>
        <w:rPr>
          <w:sz w:val="20"/>
          <w:szCs w:val="20"/>
          <w:color w:val="auto"/>
        </w:rPr>
      </w:pPr>
    </w:p>
    <w:p>
      <w:pPr>
        <w:ind w:right="60" w:firstLine="360"/>
        <w:spacing w:after="0" w:line="259" w:lineRule="auto"/>
        <w:rPr>
          <w:sz w:val="20"/>
          <w:szCs w:val="20"/>
          <w:color w:val="auto"/>
        </w:rPr>
      </w:pPr>
      <w:r>
        <w:rPr>
          <w:rFonts w:ascii="Times New Roman" w:cs="Times New Roman" w:eastAsia="Times New Roman" w:hAnsi="Times New Roman"/>
          <w:sz w:val="19"/>
          <w:szCs w:val="19"/>
          <w:color w:val="auto"/>
        </w:rPr>
        <w:t>As of the end of the period covered by this report (the “evaluation date”), the Company carried out an evaluation, under the supervision and with the participation of the Company’s management, including the Company’s Chief Executive Officer (“the CEO”) and Chief Financial Officer (“the CFO”), of the effectiveness of the design and operation of the Company’s disclosure controls and procedures, as defined in Rule 13a-15(e) under the Exchange Act of 1934 (the “Exchange Act”). Based on this evaluation, the CEO and CFO concluded that the Company’s disclosure controls and procedures, as designed and implemented, were effective as of the evaluation date (1) in ensuring that information regarding the Company and its subsidiaries is accumulated and communicated to our management, including our CEO and CFO, by our employees, as appropriate to allow timely decisions regarding required disclosure and (2) in providing reasonable assurance that information the Company must disclose in its periodic reports under the Exchange Act is recorded, processed, summarized and reported within the time periods prescribed by the SEC’s rules and forms.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35"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20"/>
          <w:szCs w:val="20"/>
          <w:color w:val="auto"/>
        </w:rPr>
        <w:t>There were no significant changes in the Company’s internal control over financial reporting that occurred during the Company’s most recent fiscal quarter that have materially affected, or are reasonably likely to materially affect, the Company’s internal control over financial reporting.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Report on Internal Control over Financial Reporting</w:t>
      </w:r>
    </w:p>
    <w:p>
      <w:pPr>
        <w:spacing w:after="0" w:line="234" w:lineRule="exact"/>
        <w:rPr>
          <w:sz w:val="20"/>
          <w:szCs w:val="20"/>
          <w:color w:val="auto"/>
        </w:rPr>
      </w:pPr>
    </w:p>
    <w:p>
      <w:pPr>
        <w:ind w:right="140" w:firstLine="360"/>
        <w:spacing w:after="0" w:line="247" w:lineRule="auto"/>
        <w:rPr>
          <w:sz w:val="20"/>
          <w:szCs w:val="20"/>
          <w:color w:val="auto"/>
        </w:rPr>
      </w:pPr>
      <w:r>
        <w:rPr>
          <w:rFonts w:ascii="Times New Roman" w:cs="Times New Roman" w:eastAsia="Times New Roman" w:hAnsi="Times New Roman"/>
          <w:sz w:val="20"/>
          <w:szCs w:val="20"/>
          <w:color w:val="auto"/>
        </w:rPr>
        <w:t>Management of the Company is responsible for establishing and maintaining adequate internal control over financial reporting. Internal control over financial reporting is defined in Rules 13a-15(f) and 15d-15(f)under the Securities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consolidated financial statements for external purposes in accordance with generally accepted accounting principles and includes those policies and procedures that:</w:t>
      </w:r>
    </w:p>
    <w:p>
      <w:pPr>
        <w:spacing w:after="0" w:line="193" w:lineRule="exact"/>
        <w:rPr>
          <w:sz w:val="20"/>
          <w:szCs w:val="20"/>
          <w:color w:val="auto"/>
        </w:rPr>
      </w:pPr>
    </w:p>
    <w:p>
      <w:pPr>
        <w:ind w:left="720" w:hanging="350"/>
        <w:spacing w:after="0" w:line="259"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pertain to the maintenance of records that in reasonable detail accurately and fairly reflect the transactions and dispositions of the assets of the Company;</w:t>
      </w:r>
    </w:p>
    <w:p>
      <w:pPr>
        <w:ind w:left="720" w:right="180" w:hanging="350"/>
        <w:spacing w:after="0" w:line="243"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management and directors of the Company; and</w:t>
      </w:r>
    </w:p>
    <w:p>
      <w:pPr>
        <w:spacing w:after="0" w:line="1" w:lineRule="exact"/>
        <w:rPr>
          <w:rFonts w:ascii="Times New Roman" w:cs="Times New Roman" w:eastAsia="Times New Roman" w:hAnsi="Times New Roman"/>
          <w:sz w:val="20"/>
          <w:szCs w:val="20"/>
          <w:color w:val="auto"/>
        </w:rPr>
      </w:pPr>
    </w:p>
    <w:p>
      <w:pPr>
        <w:ind w:left="720" w:right="160" w:hanging="350"/>
        <w:spacing w:after="0" w:line="250"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reasonable assurance regarding prevention or timely detection of unauthorized acquisition, use or disposition of the Company’s assets that could have a material effect on the consolidated financial statements.</w:t>
      </w:r>
    </w:p>
    <w:p>
      <w:pPr>
        <w:spacing w:after="0" w:line="189" w:lineRule="exact"/>
        <w:rPr>
          <w:sz w:val="20"/>
          <w:szCs w:val="20"/>
          <w:color w:val="auto"/>
        </w:rPr>
      </w:pPr>
    </w:p>
    <w:p>
      <w:pPr>
        <w:ind w:right="140" w:firstLine="360"/>
        <w:spacing w:after="0" w:line="249"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As a result, even systems determined to be effective can provide only reasonable assurance regarding the preparation and presentation of consolidated financial statements. Moreover,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ind w:right="20" w:firstLine="360"/>
        <w:spacing w:after="0" w:line="278" w:lineRule="auto"/>
        <w:rPr>
          <w:sz w:val="20"/>
          <w:szCs w:val="20"/>
          <w:color w:val="auto"/>
        </w:rPr>
      </w:pPr>
      <w:r>
        <w:rPr>
          <w:rFonts w:ascii="Times New Roman" w:cs="Times New Roman" w:eastAsia="Times New Roman" w:hAnsi="Times New Roman"/>
          <w:sz w:val="19"/>
          <w:szCs w:val="19"/>
          <w:color w:val="auto"/>
        </w:rPr>
        <w:t xml:space="preserve">The Company’s management, including the CEO and the CFO, assessed the effectiveness of the Company’s internal control over financial reporting as of December 31, 2025. In making this assessment, the Company’s management used criteria set forth in </w:t>
      </w:r>
      <w:r>
        <w:rPr>
          <w:rFonts w:ascii="Times New Roman" w:cs="Times New Roman" w:eastAsia="Times New Roman" w:hAnsi="Times New Roman"/>
          <w:sz w:val="19"/>
          <w:szCs w:val="19"/>
          <w:i w:val="1"/>
          <w:iCs w:val="1"/>
          <w:color w:val="auto"/>
        </w:rPr>
        <w:t>Internal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Control</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Integrated Framework (2013) </w:t>
      </w:r>
      <w:r>
        <w:rPr>
          <w:rFonts w:ascii="Times New Roman" w:cs="Times New Roman" w:eastAsia="Times New Roman" w:hAnsi="Times New Roman"/>
          <w:sz w:val="19"/>
          <w:szCs w:val="19"/>
          <w:color w:val="auto"/>
        </w:rPr>
        <w:t>issued by the Committee of Sponsoring Organizations of the Treadway Commission.</w:t>
      </w:r>
    </w:p>
    <w:p>
      <w:pPr>
        <w:spacing w:after="0" w:line="161" w:lineRule="exact"/>
        <w:rPr>
          <w:sz w:val="20"/>
          <w:szCs w:val="20"/>
          <w:color w:val="auto"/>
        </w:rPr>
      </w:pPr>
    </w:p>
    <w:p>
      <w:pPr>
        <w:ind w:right="720" w:firstLine="360"/>
        <w:spacing w:after="0" w:line="277" w:lineRule="auto"/>
        <w:rPr>
          <w:sz w:val="20"/>
          <w:szCs w:val="20"/>
          <w:color w:val="auto"/>
        </w:rPr>
      </w:pPr>
      <w:r>
        <w:rPr>
          <w:rFonts w:ascii="Times New Roman" w:cs="Times New Roman" w:eastAsia="Times New Roman" w:hAnsi="Times New Roman"/>
          <w:sz w:val="20"/>
          <w:szCs w:val="20"/>
          <w:color w:val="auto"/>
        </w:rPr>
        <w:t>Based on management’s assessment, the Company’s management, including the CEO and the CFO, concluded that, as of December 31, 2025, the Company’s internal control over financial reporting was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780"/>
          </w:cols>
          <w:pgMar w:left="720" w:top="1057" w:right="740" w:bottom="135"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35" w:lineRule="exact"/>
        <w:rPr>
          <w:sz w:val="20"/>
          <w:szCs w:val="20"/>
          <w:color w:val="auto"/>
        </w:rPr>
      </w:pPr>
    </w:p>
    <w:p>
      <w:pPr>
        <w:ind w:firstLine="360"/>
        <w:spacing w:after="0" w:line="277" w:lineRule="auto"/>
        <w:rPr>
          <w:sz w:val="20"/>
          <w:szCs w:val="20"/>
          <w:color w:val="auto"/>
        </w:rPr>
      </w:pPr>
      <w:r>
        <w:rPr>
          <w:rFonts w:ascii="Times New Roman" w:cs="Times New Roman" w:eastAsia="Times New Roman" w:hAnsi="Times New Roman"/>
          <w:sz w:val="20"/>
          <w:szCs w:val="20"/>
          <w:color w:val="auto"/>
        </w:rPr>
        <w:t>During the quarter ended December 31, 2025, no director or officer of the Company adopted, modified or terminated any Rule 10b5-1 trading arrangement or non-Rule 10b5-1 trading arrangement, each as defined in Item 408 of Regulation S-K.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500"/>
          </w:cols>
          <w:pgMar w:left="720" w:top="1057" w:right="102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500"/>
          </w:cols>
          <w:pgMar w:left="720" w:top="1057" w:right="1020" w:bottom="135" w:gutter="0" w:footer="0" w:header="0"/>
          <w:type w:val="continuous"/>
        </w:sectPr>
      </w:pPr>
    </w:p>
    <w:bookmarkStart w:id="83" w:name="page84"/>
    <w:bookmarkEnd w:id="83"/>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00" w:lineRule="exact"/>
        <w:rPr>
          <w:sz w:val="20"/>
          <w:szCs w:val="20"/>
          <w:color w:val="auto"/>
        </w:rPr>
      </w:pPr>
    </w:p>
    <w:p>
      <w:pPr>
        <w:spacing w:after="0" w:line="307"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20"/>
          <w:szCs w:val="20"/>
          <w:b w:val="1"/>
          <w:bCs w:val="1"/>
          <w:color w:val="auto"/>
        </w:rPr>
        <w:t>Directors, Executive Officers and Corporate Governance.</w:t>
      </w:r>
    </w:p>
    <w:p>
      <w:pPr>
        <w:spacing w:after="0" w:line="234"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The information required by this Item 10 and not otherwise set forth below is incorporated herein by reference to the Company's definitive Proxy Statement relating to the Company’s 2026 Annual Meeting of Stockholders, which the Company expects to file with the U.S. Securities and Exchange Commission, pursuant to Regulation 14A, not later than 120 days after December 31, 2025 (the "Proxy Statement").</w:t>
      </w:r>
    </w:p>
    <w:p>
      <w:pPr>
        <w:spacing w:after="0" w:line="200" w:lineRule="exact"/>
        <w:rPr>
          <w:sz w:val="20"/>
          <w:szCs w:val="20"/>
          <w:color w:val="auto"/>
        </w:rPr>
      </w:pPr>
    </w:p>
    <w:p>
      <w:pPr>
        <w:spacing w:after="0" w:line="256"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20"/>
          <w:szCs w:val="20"/>
          <w:b w:val="1"/>
          <w:bCs w:val="1"/>
          <w:color w:val="auto"/>
        </w:rPr>
        <w:t>Executive Compensation.</w:t>
      </w: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information required by this Item 11 is incorporated herein by reference to the Proxy Statement.</w:t>
      </w:r>
    </w:p>
    <w:p>
      <w:pPr>
        <w:spacing w:after="0" w:line="200" w:lineRule="exact"/>
        <w:rPr>
          <w:sz w:val="20"/>
          <w:szCs w:val="20"/>
          <w:color w:val="auto"/>
        </w:rPr>
      </w:pPr>
    </w:p>
    <w:p>
      <w:pPr>
        <w:spacing w:after="0" w:line="30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ITEM 12.</w:t>
      </w:r>
      <w:r>
        <w:rPr>
          <w:sz w:val="20"/>
          <w:szCs w:val="20"/>
          <w:color w:val="auto"/>
        </w:rPr>
        <w:tab/>
      </w:r>
      <w:r>
        <w:rPr>
          <w:rFonts w:ascii="Times New Roman" w:cs="Times New Roman" w:eastAsia="Times New Roman" w:hAnsi="Times New Roman"/>
          <w:sz w:val="19"/>
          <w:szCs w:val="19"/>
          <w:b w:val="1"/>
          <w:bCs w:val="1"/>
          <w:color w:val="auto"/>
        </w:rPr>
        <w:t>Security Ownership of Certain Beneficial Owners and Management and Related Stockholder Matters.</w:t>
      </w:r>
    </w:p>
    <w:p>
      <w:pPr>
        <w:spacing w:after="0" w:line="234" w:lineRule="exact"/>
        <w:rPr>
          <w:sz w:val="20"/>
          <w:szCs w:val="20"/>
          <w:color w:val="auto"/>
        </w:rPr>
      </w:pPr>
    </w:p>
    <w:p>
      <w:pPr>
        <w:ind w:right="60" w:firstLine="360"/>
        <w:spacing w:after="0" w:line="278" w:lineRule="auto"/>
        <w:rPr>
          <w:sz w:val="20"/>
          <w:szCs w:val="20"/>
          <w:color w:val="auto"/>
        </w:rPr>
      </w:pPr>
      <w:r>
        <w:rPr>
          <w:rFonts w:ascii="Times New Roman" w:cs="Times New Roman" w:eastAsia="Times New Roman" w:hAnsi="Times New Roman"/>
          <w:sz w:val="20"/>
          <w:szCs w:val="20"/>
          <w:color w:val="auto"/>
        </w:rPr>
        <w:t>The information required by this Item 12 is incorporated herein by reference to the Proxy Statement and to Part II, Item 5 of this Form 10-K.</w:t>
      </w:r>
    </w:p>
    <w:p>
      <w:pPr>
        <w:spacing w:after="0" w:line="153"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19"/>
          <w:szCs w:val="19"/>
          <w:b w:val="1"/>
          <w:bCs w:val="1"/>
          <w:color w:val="auto"/>
        </w:rPr>
        <w:t>Certain Relationships and Related Transactions, and Director Independence.</w:t>
      </w: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information required by this Item 13 is incorporated herein by reference to the Proxy Statement.</w:t>
      </w:r>
    </w:p>
    <w:p>
      <w:pPr>
        <w:spacing w:after="0" w:line="227"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19"/>
          <w:szCs w:val="19"/>
          <w:b w:val="1"/>
          <w:bCs w:val="1"/>
          <w:color w:val="auto"/>
        </w:rPr>
        <w:t>Principal Accountant Fees and Services.</w:t>
      </w: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information required by this Item 14 is incorporated herein by reference to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680"/>
          </w:cols>
          <w:pgMar w:left="720" w:top="1057" w:right="840" w:bottom="135"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3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ab/>
      </w:r>
      <w:r>
        <w:rPr>
          <w:rFonts w:ascii="Times New Roman" w:cs="Times New Roman" w:eastAsia="Times New Roman" w:hAnsi="Times New Roman"/>
          <w:sz w:val="20"/>
          <w:szCs w:val="20"/>
          <w:b w:val="1"/>
          <w:bCs w:val="1"/>
          <w:color w:val="auto"/>
        </w:rPr>
        <w:t>Exhibits, Financial Statement Schedules.</w:t>
      </w:r>
    </w:p>
    <w:p>
      <w:pPr>
        <w:spacing w:after="0" w:line="238" w:lineRule="exact"/>
        <w:rPr>
          <w:sz w:val="20"/>
          <w:szCs w:val="20"/>
          <w:color w:val="auto"/>
        </w:rPr>
      </w:pPr>
    </w:p>
    <w:p>
      <w:pPr>
        <w:ind w:left="540" w:right="360" w:hanging="530"/>
        <w:spacing w:after="0" w:line="258" w:lineRule="auto"/>
        <w:tabs>
          <w:tab w:leader="none" w:pos="5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Statements. The consolidated financial statements of the Company, together with the report of Independent Registered Public Accounting Firm thereon, are set forth in Part II-Item 8 of this Form 10-K and are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information is filed as part of this Form 10-K:</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40" w:type="dxa"/>
            <w:vAlign w:val="bottom"/>
          </w:tcPr>
          <w:p>
            <w:pPr>
              <w:spacing w:after="0"/>
              <w:rPr>
                <w:sz w:val="20"/>
                <w:szCs w:val="20"/>
                <w:color w:val="auto"/>
              </w:rPr>
            </w:pPr>
          </w:p>
        </w:tc>
        <w:tc>
          <w:tcPr>
            <w:tcW w:w="97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462"/>
        </w:trPr>
        <w:tc>
          <w:tcPr>
            <w:tcW w:w="340" w:type="dxa"/>
            <w:vAlign w:val="bottom"/>
          </w:tcPr>
          <w:p>
            <w:pPr>
              <w:spacing w:after="0"/>
              <w:rPr>
                <w:sz w:val="24"/>
                <w:szCs w:val="24"/>
                <w:color w:val="auto"/>
              </w:rPr>
            </w:pPr>
          </w:p>
        </w:tc>
        <w:tc>
          <w:tcPr>
            <w:tcW w:w="9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(BDO USA, P.C.; West Palm Beach, FL; PCAOB</w:t>
            </w:r>
          </w:p>
        </w:tc>
        <w:tc>
          <w:tcPr>
            <w:tcW w:w="3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r>
        <w:trPr>
          <w:trHeight w:val="240"/>
        </w:trPr>
        <w:tc>
          <w:tcPr>
            <w:tcW w:w="340" w:type="dxa"/>
            <w:vAlign w:val="bottom"/>
          </w:tcPr>
          <w:p>
            <w:pPr>
              <w:spacing w:after="0"/>
              <w:rPr>
                <w:sz w:val="20"/>
                <w:szCs w:val="20"/>
                <w:color w:val="auto"/>
              </w:rPr>
            </w:pPr>
          </w:p>
        </w:tc>
        <w:tc>
          <w:tcPr>
            <w:tcW w:w="9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ID#243)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40"/>
        </w:trPr>
        <w:tc>
          <w:tcPr>
            <w:tcW w:w="340" w:type="dxa"/>
            <w:vAlign w:val="bottom"/>
          </w:tcPr>
          <w:p>
            <w:pPr>
              <w:spacing w:after="0"/>
              <w:rPr>
                <w:sz w:val="20"/>
                <w:szCs w:val="20"/>
                <w:color w:val="auto"/>
              </w:rPr>
            </w:pPr>
          </w:p>
        </w:tc>
        <w:tc>
          <w:tcPr>
            <w:tcW w:w="9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Consolidated Balance Sheets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40"/>
        </w:trPr>
        <w:tc>
          <w:tcPr>
            <w:tcW w:w="340" w:type="dxa"/>
            <w:vAlign w:val="bottom"/>
          </w:tcPr>
          <w:p>
            <w:pPr>
              <w:spacing w:after="0"/>
              <w:rPr>
                <w:sz w:val="20"/>
                <w:szCs w:val="20"/>
                <w:color w:val="auto"/>
              </w:rPr>
            </w:pPr>
          </w:p>
        </w:tc>
        <w:tc>
          <w:tcPr>
            <w:tcW w:w="9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Consolidated Statements of Operations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40"/>
        </w:trPr>
        <w:tc>
          <w:tcPr>
            <w:tcW w:w="340" w:type="dxa"/>
            <w:vAlign w:val="bottom"/>
          </w:tcPr>
          <w:p>
            <w:pPr>
              <w:spacing w:after="0"/>
              <w:rPr>
                <w:sz w:val="20"/>
                <w:szCs w:val="20"/>
                <w:color w:val="auto"/>
              </w:rPr>
            </w:pPr>
          </w:p>
        </w:tc>
        <w:tc>
          <w:tcPr>
            <w:tcW w:w="9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Consolidated Statements of Equity</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40"/>
        </w:trPr>
        <w:tc>
          <w:tcPr>
            <w:tcW w:w="340" w:type="dxa"/>
            <w:vAlign w:val="bottom"/>
          </w:tcPr>
          <w:p>
            <w:pPr>
              <w:spacing w:after="0"/>
              <w:rPr>
                <w:sz w:val="20"/>
                <w:szCs w:val="20"/>
                <w:color w:val="auto"/>
              </w:rPr>
            </w:pPr>
          </w:p>
        </w:tc>
        <w:tc>
          <w:tcPr>
            <w:tcW w:w="9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Consolidated Statements of Cash Flows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67"/>
        </w:trPr>
        <w:tc>
          <w:tcPr>
            <w:tcW w:w="340" w:type="dxa"/>
            <w:vAlign w:val="bottom"/>
          </w:tcPr>
          <w:p>
            <w:pPr>
              <w:spacing w:after="0"/>
              <w:rPr>
                <w:sz w:val="23"/>
                <w:szCs w:val="23"/>
                <w:color w:val="auto"/>
              </w:rPr>
            </w:pPr>
          </w:p>
        </w:tc>
        <w:tc>
          <w:tcPr>
            <w:tcW w:w="9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464"/>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b.</w:t>
            </w:r>
          </w:p>
        </w:tc>
        <w:tc>
          <w:tcPr>
            <w:tcW w:w="9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Financial Statement Schedules.</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61"/>
        </w:trPr>
        <w:tc>
          <w:tcPr>
            <w:tcW w:w="10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Not applicable.</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60"/>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c.</w:t>
            </w:r>
          </w:p>
        </w:tc>
        <w:tc>
          <w:tcPr>
            <w:tcW w:w="97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Exhibits.</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No</w:t>
      </w:r>
    </w:p>
    <w:p>
      <w:pPr>
        <w:spacing w:after="0" w:line="235" w:lineRule="exact"/>
        <w:rPr>
          <w:sz w:val="20"/>
          <w:szCs w:val="20"/>
          <w:color w:val="auto"/>
        </w:rPr>
      </w:pPr>
    </w:p>
    <w:p>
      <w:pPr>
        <w:jc w:val="both"/>
        <w:ind w:left="620" w:hanging="605"/>
        <w:spacing w:after="0" w:line="258" w:lineRule="auto"/>
        <w:tabs>
          <w:tab w:leader="none" w:pos="60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color w:val="auto"/>
        </w:rPr>
        <w:t>Articles of Amendment and Restatement, incorporated by reference to Exhibit 3.1 to the Company’s Form S-11/A, filed with the SEC on April 29, 2004</w:t>
      </w:r>
    </w:p>
    <w:p>
      <w:pPr>
        <w:spacing w:after="0" w:line="1" w:lineRule="exact"/>
        <w:rPr>
          <w:sz w:val="20"/>
          <w:szCs w:val="20"/>
          <w:color w:val="auto"/>
        </w:rPr>
      </w:pPr>
    </w:p>
    <w:p>
      <w:pPr>
        <w:jc w:val="both"/>
        <w:ind w:left="620" w:hanging="605"/>
        <w:spacing w:after="0" w:line="245" w:lineRule="auto"/>
        <w:tabs>
          <w:tab w:leader="none" w:pos="60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color w:val="auto"/>
        </w:rPr>
        <w:t>Articles Supplementary, incorporated by reference to Exhibit 3.1 to the Company’s Current Report on Form 8-K, dated November 3, 2005, filed with the SEC on November 8, 2005</w:t>
      </w:r>
    </w:p>
    <w:p>
      <w:pPr>
        <w:spacing w:after="0" w:line="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color w:val="auto"/>
        </w:rPr>
        <w:t>Articles of Amendment, incorporated by reference to Exhibit 3.1 to the Company’s Current Report on Form 8-K, dated February</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10, 2006, filed with the SEC on February 15, 2006</w:t>
      </w:r>
    </w:p>
    <w:p>
      <w:pPr>
        <w:spacing w:after="0" w:line="9" w:lineRule="exact"/>
        <w:rPr>
          <w:sz w:val="20"/>
          <w:szCs w:val="20"/>
          <w:color w:val="auto"/>
        </w:rPr>
      </w:pPr>
    </w:p>
    <w:p>
      <w:pPr>
        <w:jc w:val="both"/>
        <w:ind w:left="620" w:hanging="605"/>
        <w:spacing w:after="0" w:line="244" w:lineRule="auto"/>
        <w:tabs>
          <w:tab w:leader="none" w:pos="60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20"/>
          <w:szCs w:val="20"/>
          <w:color w:val="auto"/>
        </w:rPr>
        <w:t>Articles of Amendment, incorporated by reference to Exhibit 3.1 to the Company’s Current Report on Form 8-K, dated September 24, 2007, filed with the SEC on September 24, 2007</w:t>
      </w:r>
    </w:p>
    <w:p>
      <w:pPr>
        <w:spacing w:after="0" w:line="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19"/>
          <w:szCs w:val="19"/>
          <w:color w:val="auto"/>
        </w:rPr>
        <w:t>Certificate of Notice, incorporated by reference to Exhibit 3.1 to the Company’s Current Report on Form 8-K, dated January 28,</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2008, filed with the SEC on February 1, 2008</w:t>
      </w:r>
    </w:p>
    <w:p>
      <w:pPr>
        <w:spacing w:after="0" w:line="9" w:lineRule="exact"/>
        <w:rPr>
          <w:sz w:val="20"/>
          <w:szCs w:val="20"/>
          <w:color w:val="auto"/>
        </w:rPr>
      </w:pPr>
    </w:p>
    <w:p>
      <w:pPr>
        <w:jc w:val="both"/>
        <w:ind w:left="620" w:hanging="605"/>
        <w:spacing w:after="0" w:line="243" w:lineRule="auto"/>
        <w:tabs>
          <w:tab w:leader="none" w:pos="600" w:val="left"/>
        </w:tabs>
        <w:rPr>
          <w:sz w:val="20"/>
          <w:szCs w:val="20"/>
          <w:color w:val="auto"/>
        </w:rPr>
      </w:pP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20"/>
          <w:szCs w:val="20"/>
          <w:color w:val="auto"/>
        </w:rPr>
        <w:t>Articles Supplementary, reclassifying shares of Class A Preferred Stock and Class B Preferred Stock into Preferred Stock, incorporated by reference to Exhibit 3.1 to the Company’s Current Report on Form 8-K, dated December 21, 2015, filed with the SEC on December 21, 2015</w:t>
      </w:r>
    </w:p>
    <w:p>
      <w:pPr>
        <w:spacing w:after="0" w:line="1" w:lineRule="exact"/>
        <w:rPr>
          <w:sz w:val="20"/>
          <w:szCs w:val="20"/>
          <w:color w:val="auto"/>
        </w:rPr>
      </w:pPr>
    </w:p>
    <w:p>
      <w:pPr>
        <w:jc w:val="both"/>
        <w:ind w:left="620" w:hanging="605"/>
        <w:spacing w:after="0" w:line="245" w:lineRule="auto"/>
        <w:tabs>
          <w:tab w:leader="none" w:pos="600" w:val="left"/>
        </w:tabs>
        <w:rPr>
          <w:sz w:val="20"/>
          <w:szCs w:val="20"/>
          <w:color w:val="auto"/>
        </w:rPr>
      </w:pP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20"/>
          <w:szCs w:val="20"/>
          <w:color w:val="auto"/>
        </w:rPr>
        <w:t>Articles Supplementary, creating the Series A Preferred Stock, incorporated by reference to Exhibit 3.2 to the Company’s Current Report on Form 8-K, dated December 21, 2015, filed with the SEC on December 21, 2015.</w:t>
      </w:r>
    </w:p>
    <w:p>
      <w:pPr>
        <w:spacing w:after="0" w:line="1" w:lineRule="exact"/>
        <w:rPr>
          <w:sz w:val="20"/>
          <w:szCs w:val="20"/>
          <w:color w:val="auto"/>
        </w:rPr>
      </w:pPr>
    </w:p>
    <w:p>
      <w:pPr>
        <w:jc w:val="both"/>
        <w:ind w:left="620" w:hanging="605"/>
        <w:spacing w:after="0" w:line="249" w:lineRule="auto"/>
        <w:tabs>
          <w:tab w:leader="none" w:pos="600" w:val="left"/>
        </w:tabs>
        <w:rPr>
          <w:sz w:val="20"/>
          <w:szCs w:val="20"/>
          <w:color w:val="auto"/>
        </w:rPr>
      </w:pPr>
      <w:r>
        <w:rPr>
          <w:rFonts w:ascii="Times New Roman" w:cs="Times New Roman" w:eastAsia="Times New Roman" w:hAnsi="Times New Roman"/>
          <w:sz w:val="20"/>
          <w:szCs w:val="20"/>
          <w:color w:val="auto"/>
        </w:rPr>
        <w:t>3.8</w:t>
      </w:r>
      <w:r>
        <w:rPr>
          <w:sz w:val="20"/>
          <w:szCs w:val="20"/>
          <w:color w:val="auto"/>
        </w:rPr>
        <w:tab/>
      </w:r>
      <w:r>
        <w:rPr>
          <w:rFonts w:ascii="Times New Roman" w:cs="Times New Roman" w:eastAsia="Times New Roman" w:hAnsi="Times New Roman"/>
          <w:sz w:val="20"/>
          <w:szCs w:val="20"/>
          <w:color w:val="auto"/>
        </w:rPr>
        <w:t>Amended and Restated Bylaws, incorporated by reference to Exhibit 3.2 to the Company’s Current Report on Form 8-K, dated September 24, 2007, filed with the SEC on September 24,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800"/>
          </w:cols>
          <w:pgMar w:left="720" w:top="1057" w:right="720" w:bottom="135" w:gutter="0" w:footer="0" w:header="0"/>
        </w:sectPr>
      </w:pPr>
    </w:p>
    <w:bookmarkStart w:id="85" w:name="page86"/>
    <w:bookmarkEnd w:id="85"/>
    <w:p>
      <w:pPr>
        <w:jc w:val="both"/>
        <w:ind w:left="620" w:hanging="605"/>
        <w:spacing w:after="0" w:line="253" w:lineRule="auto"/>
        <w:tabs>
          <w:tab w:leader="none" w:pos="60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color w:val="auto"/>
        </w:rPr>
        <w:t>Rights Plan, dated as of December 21, 2015, between the Company and Broadridge Corporate Issuer Solutions, Inc. incorporated by reference to Exhibit 4.1 to the Company’s Current Report on Form 8-K, dated December 21, 2015, filed with the SEC on December 21, 2015.</w:t>
      </w:r>
    </w:p>
    <w:p>
      <w:pPr>
        <w:ind w:left="620" w:right="200" w:hanging="605"/>
        <w:spacing w:after="0" w:line="243" w:lineRule="auto"/>
        <w:tabs>
          <w:tab w:leader="none" w:pos="60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20"/>
          <w:szCs w:val="20"/>
          <w:color w:val="auto"/>
        </w:rPr>
        <w:t>First Amendment to Rights Plan, dated as of December 10, 2025, between the Company and Broadridge Corporate Issuer Solutions, Inc., incorporated by reference to Exhibit 4.2 to the Company’s Current Report on Form 8-K, dated December 10, 2025, filed with the SEC on December 10, 2025.</w:t>
      </w:r>
    </w:p>
    <w:p>
      <w:pPr>
        <w:spacing w:after="0" w:line="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19"/>
          <w:szCs w:val="19"/>
          <w:color w:val="auto"/>
        </w:rPr>
        <w:t>Description of the Company’s Capital Stock, incorporated by reference to Exhibit 4.2 to the Company’s Annual Report on Form</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10-K, filed with the SEC on March 27, 2020.</w:t>
      </w:r>
    </w:p>
    <w:p>
      <w:pPr>
        <w:spacing w:after="0" w:line="9" w:lineRule="exact"/>
        <w:rPr>
          <w:sz w:val="20"/>
          <w:szCs w:val="20"/>
          <w:color w:val="auto"/>
        </w:rPr>
      </w:pPr>
    </w:p>
    <w:p>
      <w:pPr>
        <w:jc w:val="both"/>
        <w:ind w:left="620" w:hanging="605"/>
        <w:spacing w:after="0" w:line="243" w:lineRule="auto"/>
        <w:tabs>
          <w:tab w:leader="none" w:pos="600" w:val="left"/>
        </w:tabs>
        <w:rPr>
          <w:sz w:val="20"/>
          <w:szCs w:val="20"/>
          <w:color w:val="auto"/>
        </w:rPr>
      </w:pPr>
      <w:r>
        <w:rPr>
          <w:rFonts w:ascii="Times New Roman" w:cs="Times New Roman" w:eastAsia="Times New Roman" w:hAnsi="Times New Roman"/>
          <w:sz w:val="20"/>
          <w:szCs w:val="20"/>
          <w:color w:val="auto"/>
        </w:rPr>
        <w:t>10.1</w:t>
        <w:tab/>
        <w:t>Management Agreement between Orchid Island Capital, Inc. and Bimini Advisors, LLC date February 20, 2013, incorporated by reference to Exhibit 10.1 to the Company’s Current Report on Form 8-K, dated February 20, 2013, filed with the SEC on February 20, 2013.</w:t>
      </w:r>
    </w:p>
    <w:p>
      <w:pPr>
        <w:spacing w:after="0" w:line="1" w:lineRule="exact"/>
        <w:rPr>
          <w:sz w:val="20"/>
          <w:szCs w:val="20"/>
          <w:color w:val="auto"/>
        </w:rPr>
      </w:pPr>
    </w:p>
    <w:p>
      <w:pPr>
        <w:jc w:val="both"/>
        <w:ind w:left="620" w:hanging="605"/>
        <w:spacing w:after="0" w:line="245" w:lineRule="auto"/>
        <w:tabs>
          <w:tab w:leader="none" w:pos="600" w:val="left"/>
        </w:tabs>
        <w:rPr>
          <w:sz w:val="20"/>
          <w:szCs w:val="20"/>
          <w:color w:val="auto"/>
        </w:rPr>
      </w:pPr>
      <w:r>
        <w:rPr>
          <w:rFonts w:ascii="Times New Roman" w:cs="Times New Roman" w:eastAsia="Times New Roman" w:hAnsi="Times New Roman"/>
          <w:sz w:val="20"/>
          <w:szCs w:val="20"/>
          <w:color w:val="auto"/>
        </w:rPr>
        <w:t>10.2</w:t>
        <w:tab/>
        <w:t>First Amendment to Management Agreement dated as of April 1, 2014, incorporated by reference to Exhibit 10.1 to the Company’s Current Report on Form 8-K, dated April 3, 2014.</w:t>
      </w:r>
    </w:p>
    <w:p>
      <w:pPr>
        <w:spacing w:after="0" w:line="1" w:lineRule="exact"/>
        <w:rPr>
          <w:sz w:val="20"/>
          <w:szCs w:val="20"/>
          <w:color w:val="auto"/>
        </w:rPr>
      </w:pPr>
    </w:p>
    <w:p>
      <w:pPr>
        <w:jc w:val="both"/>
        <w:ind w:left="620" w:hanging="605"/>
        <w:spacing w:after="0" w:line="244" w:lineRule="auto"/>
        <w:tabs>
          <w:tab w:leader="none" w:pos="600" w:val="left"/>
        </w:tabs>
        <w:rPr>
          <w:sz w:val="20"/>
          <w:szCs w:val="20"/>
          <w:color w:val="auto"/>
        </w:rPr>
      </w:pPr>
      <w:r>
        <w:rPr>
          <w:rFonts w:ascii="Times New Roman" w:cs="Times New Roman" w:eastAsia="Times New Roman" w:hAnsi="Times New Roman"/>
          <w:sz w:val="20"/>
          <w:szCs w:val="20"/>
          <w:color w:val="auto"/>
        </w:rPr>
        <w:t>10.3</w:t>
        <w:tab/>
        <w:t>Second Amendment to Management Agreement dated as of June 30, 2014, incorporated by reference to Exhibit 10.1 to the Company’s Current Report on Form 8-K, dated July 3, 2014.</w:t>
      </w:r>
    </w:p>
    <w:p>
      <w:pPr>
        <w:spacing w:after="0" w:line="2" w:lineRule="exact"/>
        <w:rPr>
          <w:sz w:val="20"/>
          <w:szCs w:val="20"/>
          <w:color w:val="auto"/>
        </w:rPr>
      </w:pPr>
    </w:p>
    <w:p>
      <w:pPr>
        <w:jc w:val="both"/>
        <w:ind w:left="620" w:hanging="605"/>
        <w:spacing w:after="0" w:line="245" w:lineRule="auto"/>
        <w:tabs>
          <w:tab w:leader="none" w:pos="600" w:val="left"/>
        </w:tabs>
        <w:rPr>
          <w:sz w:val="20"/>
          <w:szCs w:val="20"/>
          <w:color w:val="auto"/>
        </w:rPr>
      </w:pPr>
      <w:r>
        <w:rPr>
          <w:rFonts w:ascii="Times New Roman" w:cs="Times New Roman" w:eastAsia="Times New Roman" w:hAnsi="Times New Roman"/>
          <w:sz w:val="20"/>
          <w:szCs w:val="20"/>
          <w:color w:val="auto"/>
        </w:rPr>
        <w:t>10.4</w:t>
        <w:tab/>
        <w:t>Third Amendment to Management Agreement dated as of November 16, 2021, incorporated by reference to Exhibit 10.1 to the Company’s Current Report on Form 8-K, dated November 17, 2021, filed with the SEC on November 18, 2021.</w:t>
      </w:r>
    </w:p>
    <w:p>
      <w:pPr>
        <w:spacing w:after="0" w:line="1" w:lineRule="exact"/>
        <w:rPr>
          <w:sz w:val="20"/>
          <w:szCs w:val="20"/>
          <w:color w:val="auto"/>
        </w:rPr>
      </w:pPr>
    </w:p>
    <w:p>
      <w:pPr>
        <w:jc w:val="both"/>
        <w:ind w:left="620" w:hanging="605"/>
        <w:spacing w:after="0" w:line="243" w:lineRule="auto"/>
        <w:tabs>
          <w:tab w:leader="none" w:pos="600" w:val="left"/>
        </w:tabs>
        <w:rPr>
          <w:sz w:val="20"/>
          <w:szCs w:val="20"/>
          <w:color w:val="auto"/>
        </w:rPr>
      </w:pPr>
      <w:r>
        <w:rPr>
          <w:rFonts w:ascii="Times New Roman" w:cs="Times New Roman" w:eastAsia="Times New Roman" w:hAnsi="Times New Roman"/>
          <w:sz w:val="20"/>
          <w:szCs w:val="20"/>
          <w:color w:val="auto"/>
        </w:rPr>
        <w:t>10.5</w:t>
        <w:tab/>
        <w:t>Investment Allocation Agreement among the Company, Orchid Island Capital, Inc. and Bimini Advisors, LLC dated February 20, 2013, incorporated by reference to Exhibit 10.2 to the Company’s Current Report on Form 8-K, dated February 20, 2013, filed with the SEC on February 20, 2013.</w:t>
      </w:r>
    </w:p>
    <w:p>
      <w:pPr>
        <w:spacing w:after="0" w:line="1" w:lineRule="exact"/>
        <w:rPr>
          <w:sz w:val="20"/>
          <w:szCs w:val="20"/>
          <w:color w:val="auto"/>
        </w:rPr>
      </w:pPr>
    </w:p>
    <w:p>
      <w:pPr>
        <w:jc w:val="both"/>
        <w:ind w:left="620" w:hanging="605"/>
        <w:spacing w:after="0" w:line="243" w:lineRule="auto"/>
        <w:tabs>
          <w:tab w:leader="none" w:pos="600" w:val="left"/>
        </w:tabs>
        <w:rPr>
          <w:sz w:val="20"/>
          <w:szCs w:val="20"/>
          <w:color w:val="auto"/>
        </w:rPr>
      </w:pPr>
      <w:r>
        <w:rPr>
          <w:rFonts w:ascii="Times New Roman" w:cs="Times New Roman" w:eastAsia="Times New Roman" w:hAnsi="Times New Roman"/>
          <w:sz w:val="20"/>
          <w:szCs w:val="20"/>
          <w:color w:val="auto"/>
        </w:rPr>
        <w:t>10.6</w:t>
        <w:tab/>
        <w:t>Agreement between the Company and Robert E. Cauley dated June 30, 2009, regarding compensation payable in connection with certain termination or change of control events, incorporated by reference to Exhibit 99.1 to the Company’s Current Report on Form 8-K, filed with the SEC on July 2, 2009.*</w:t>
      </w:r>
    </w:p>
    <w:p>
      <w:pPr>
        <w:spacing w:after="0" w:line="1" w:lineRule="exact"/>
        <w:rPr>
          <w:sz w:val="20"/>
          <w:szCs w:val="20"/>
          <w:color w:val="auto"/>
        </w:rPr>
      </w:pPr>
    </w:p>
    <w:p>
      <w:pPr>
        <w:jc w:val="both"/>
        <w:ind w:left="620" w:hanging="605"/>
        <w:spacing w:after="0" w:line="243" w:lineRule="auto"/>
        <w:tabs>
          <w:tab w:leader="none" w:pos="600" w:val="left"/>
        </w:tabs>
        <w:rPr>
          <w:sz w:val="20"/>
          <w:szCs w:val="20"/>
          <w:color w:val="auto"/>
        </w:rPr>
      </w:pPr>
      <w:r>
        <w:rPr>
          <w:rFonts w:ascii="Times New Roman" w:cs="Times New Roman" w:eastAsia="Times New Roman" w:hAnsi="Times New Roman"/>
          <w:sz w:val="20"/>
          <w:szCs w:val="20"/>
          <w:color w:val="auto"/>
        </w:rPr>
        <w:t>10.7</w:t>
        <w:tab/>
        <w:t>Agreement between the Company and G. Hunter Haas, IV dated June 30, 2009, regarding compensation payable in connection with certain termination or change of control events, incorporated by reference to Exhibit 99.2 to the Company’s Current Report on Form 8-K, filed with the SEC on July 2, 2009.*</w:t>
      </w:r>
    </w:p>
    <w:p>
      <w:pPr>
        <w:spacing w:after="0" w:line="2" w:lineRule="exact"/>
        <w:rPr>
          <w:sz w:val="20"/>
          <w:szCs w:val="20"/>
          <w:color w:val="auto"/>
        </w:rPr>
      </w:pPr>
    </w:p>
    <w:p>
      <w:pPr>
        <w:ind w:left="620" w:right="960" w:hanging="605"/>
        <w:spacing w:after="0" w:line="244" w:lineRule="auto"/>
        <w:tabs>
          <w:tab w:leader="none" w:pos="600" w:val="left"/>
        </w:tabs>
        <w:rPr>
          <w:sz w:val="20"/>
          <w:szCs w:val="20"/>
          <w:color w:val="auto"/>
        </w:rPr>
      </w:pPr>
      <w:r>
        <w:rPr>
          <w:rFonts w:ascii="Times New Roman" w:cs="Times New Roman" w:eastAsia="Times New Roman" w:hAnsi="Times New Roman"/>
          <w:sz w:val="20"/>
          <w:szCs w:val="20"/>
          <w:color w:val="auto"/>
        </w:rPr>
        <w:t>10.8</w:t>
        <w:tab/>
        <w:t>Membership Interest Purchase Agreement, dated January 13, 2026, incorporated by reference to Exhibit 10.1 to the Company’s Current Report on Form 8-K, filed with the SEC on January 14, 2026.</w:t>
      </w:r>
    </w:p>
    <w:p>
      <w:pPr>
        <w:spacing w:after="0" w:line="2" w:lineRule="exact"/>
        <w:rPr>
          <w:sz w:val="20"/>
          <w:szCs w:val="20"/>
          <w:color w:val="auto"/>
        </w:rPr>
      </w:pPr>
    </w:p>
    <w:p>
      <w:pPr>
        <w:ind w:left="620" w:right="560" w:hanging="605"/>
        <w:spacing w:after="0" w:line="245" w:lineRule="auto"/>
        <w:tabs>
          <w:tab w:leader="none" w:pos="600" w:val="left"/>
        </w:tabs>
        <w:rPr>
          <w:sz w:val="20"/>
          <w:szCs w:val="20"/>
          <w:color w:val="auto"/>
        </w:rPr>
      </w:pPr>
      <w:r>
        <w:rPr>
          <w:rFonts w:ascii="Times New Roman" w:cs="Times New Roman" w:eastAsia="Times New Roman" w:hAnsi="Times New Roman"/>
          <w:sz w:val="20"/>
          <w:szCs w:val="20"/>
          <w:color w:val="auto"/>
        </w:rPr>
        <w:t>19.1</w:t>
        <w:tab/>
        <w:t>Insider Trading Policy, incorporated by reference to Exhibit 19.1 to the Company’s Annual Report on Form 10-K, dated March 7, 2025</w:t>
      </w:r>
    </w:p>
    <w:p>
      <w:pPr>
        <w:spacing w:after="0" w:line="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color w:val="auto"/>
        </w:rPr>
        <w:t>Subsidiaries of the Registrant**</w:t>
      </w:r>
    </w:p>
    <w:p>
      <w:pPr>
        <w:spacing w:after="0" w:line="10" w:lineRule="exact"/>
        <w:rPr>
          <w:sz w:val="20"/>
          <w:szCs w:val="20"/>
          <w:color w:val="auto"/>
        </w:rPr>
      </w:pPr>
    </w:p>
    <w:p>
      <w:pPr>
        <w:ind w:left="620" w:hanging="605"/>
        <w:spacing w:after="0" w:line="245" w:lineRule="auto"/>
        <w:tabs>
          <w:tab w:leader="none" w:pos="600" w:val="left"/>
        </w:tabs>
        <w:rPr>
          <w:sz w:val="20"/>
          <w:szCs w:val="20"/>
          <w:color w:val="auto"/>
        </w:rPr>
      </w:pPr>
      <w:r>
        <w:rPr>
          <w:rFonts w:ascii="Times New Roman" w:cs="Times New Roman" w:eastAsia="Times New Roman" w:hAnsi="Times New Roman"/>
          <w:sz w:val="20"/>
          <w:szCs w:val="20"/>
          <w:color w:val="auto"/>
        </w:rPr>
        <w:t>31.1</w:t>
        <w:tab/>
        <w:t>Certification of the Principal Executive Officer, pursuant to Rule 13a-14(a) or 15d-14(a) of the Securities Exchange Act of 1934, as adopted pursuant to Section 302 of the Sarbanes-Oxley Act of 2002**</w:t>
      </w:r>
    </w:p>
    <w:p>
      <w:pPr>
        <w:spacing w:after="0" w:line="1" w:lineRule="exact"/>
        <w:rPr>
          <w:sz w:val="20"/>
          <w:szCs w:val="20"/>
          <w:color w:val="auto"/>
        </w:rPr>
      </w:pPr>
    </w:p>
    <w:p>
      <w:pPr>
        <w:ind w:left="620" w:hanging="605"/>
        <w:spacing w:after="0" w:line="244" w:lineRule="auto"/>
        <w:tabs>
          <w:tab w:leader="none" w:pos="600" w:val="left"/>
        </w:tabs>
        <w:rPr>
          <w:sz w:val="20"/>
          <w:szCs w:val="20"/>
          <w:color w:val="auto"/>
        </w:rPr>
      </w:pPr>
      <w:r>
        <w:rPr>
          <w:rFonts w:ascii="Times New Roman" w:cs="Times New Roman" w:eastAsia="Times New Roman" w:hAnsi="Times New Roman"/>
          <w:sz w:val="20"/>
          <w:szCs w:val="20"/>
          <w:color w:val="auto"/>
        </w:rPr>
        <w:t>31.2</w:t>
        <w:tab/>
        <w:t>Certification of the Principal Financial Officer, pursuant to Rule 13a-14(a) or 15d-14(a) of the Securities Exchange Act of 1934, as adopted pursuant to Section 302 of the Sarbanes-Oxley Act of 2002**</w:t>
      </w:r>
    </w:p>
    <w:p>
      <w:pPr>
        <w:spacing w:after="0" w:line="2" w:lineRule="exact"/>
        <w:rPr>
          <w:sz w:val="20"/>
          <w:szCs w:val="20"/>
          <w:color w:val="auto"/>
        </w:rPr>
      </w:pPr>
    </w:p>
    <w:p>
      <w:pPr>
        <w:ind w:left="620" w:hanging="605"/>
        <w:spacing w:after="0" w:line="245" w:lineRule="auto"/>
        <w:tabs>
          <w:tab w:leader="none" w:pos="600" w:val="left"/>
        </w:tabs>
        <w:rPr>
          <w:sz w:val="20"/>
          <w:szCs w:val="20"/>
          <w:color w:val="auto"/>
        </w:rPr>
      </w:pPr>
      <w:r>
        <w:rPr>
          <w:rFonts w:ascii="Times New Roman" w:cs="Times New Roman" w:eastAsia="Times New Roman" w:hAnsi="Times New Roman"/>
          <w:sz w:val="20"/>
          <w:szCs w:val="20"/>
          <w:color w:val="auto"/>
        </w:rPr>
        <w:t>32.1</w:t>
        <w:tab/>
        <w:t>Certification of the Chief Executive Officer, pursuant to 18 U.S.C. Section 1350, as adopted pursuant to Section 906 of the Sarbanes-Oxley Act of 2002***</w:t>
      </w:r>
    </w:p>
    <w:p>
      <w:pPr>
        <w:spacing w:after="0" w:line="1" w:lineRule="exact"/>
        <w:rPr>
          <w:sz w:val="20"/>
          <w:szCs w:val="20"/>
          <w:color w:val="auto"/>
        </w:rPr>
      </w:pPr>
    </w:p>
    <w:p>
      <w:pPr>
        <w:ind w:left="620" w:hanging="605"/>
        <w:spacing w:after="0" w:line="250" w:lineRule="auto"/>
        <w:tabs>
          <w:tab w:leader="none" w:pos="600" w:val="left"/>
        </w:tabs>
        <w:rPr>
          <w:sz w:val="20"/>
          <w:szCs w:val="20"/>
          <w:color w:val="auto"/>
        </w:rPr>
      </w:pPr>
      <w:r>
        <w:rPr>
          <w:rFonts w:ascii="Times New Roman" w:cs="Times New Roman" w:eastAsia="Times New Roman" w:hAnsi="Times New Roman"/>
          <w:sz w:val="20"/>
          <w:szCs w:val="20"/>
          <w:color w:val="auto"/>
        </w:rPr>
        <w:t>32.2</w:t>
        <w:tab/>
        <w:t>Certification of the Chief Financial Officer, pursuant to 18 U.S.C. Section 1350, as adopted pursuant to Section 906 of the Sarbanes-Oxley Act of 2002***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74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Inline Instance Document****</w:t>
            </w:r>
          </w:p>
        </w:tc>
      </w:tr>
      <w:tr>
        <w:trPr>
          <w:trHeight w:val="24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74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Inline Taxonomy Extension Schema Document****</w:t>
            </w:r>
          </w:p>
        </w:tc>
      </w:tr>
      <w:tr>
        <w:trPr>
          <w:trHeight w:val="24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74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Inline Taxonomy Extension Calculation Linkbase Document****</w:t>
            </w:r>
          </w:p>
        </w:tc>
      </w:tr>
      <w:tr>
        <w:trPr>
          <w:trHeight w:val="24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74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Additional Inline Taxonomy Extension Definition Linkbase Document****</w:t>
            </w:r>
          </w:p>
        </w:tc>
      </w:tr>
      <w:tr>
        <w:trPr>
          <w:trHeight w:val="24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74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Inline Taxonomy Extension Label Linkbase Document****</w:t>
            </w:r>
          </w:p>
        </w:tc>
      </w:tr>
      <w:tr>
        <w:trPr>
          <w:trHeight w:val="24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74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Inline Taxonomy Extension Presentation Linkbase Document****</w:t>
            </w:r>
          </w:p>
        </w:tc>
      </w:tr>
      <w:tr>
        <w:trPr>
          <w:trHeight w:val="26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7400" w:type="dxa"/>
            <w:vAlign w:val="bottom"/>
          </w:tcPr>
          <w:p>
            <w:pPr>
              <w:ind w:left="140"/>
              <w:spacing w:after="0"/>
              <w:rPr>
                <w:sz w:val="20"/>
                <w:szCs w:val="20"/>
                <w:color w:val="auto"/>
              </w:rPr>
            </w:pPr>
            <w:r>
              <w:rPr>
                <w:rFonts w:ascii="Times New Roman" w:cs="Times New Roman" w:eastAsia="Times New Roman" w:hAnsi="Times New Roman"/>
                <w:sz w:val="20"/>
                <w:szCs w:val="20"/>
                <w:color w:val="auto"/>
                <w:w w:val="99"/>
              </w:rPr>
              <w:t>Cover Page Interactive Data File (formatted in Inline XBRL and contained in Exhibit 101)</w:t>
            </w:r>
          </w:p>
        </w:tc>
      </w:tr>
    </w:tbl>
    <w:p>
      <w:pPr>
        <w:spacing w:after="0" w:line="204" w:lineRule="exact"/>
        <w:rPr>
          <w:sz w:val="20"/>
          <w:szCs w:val="20"/>
          <w:color w:val="auto"/>
        </w:rPr>
      </w:pPr>
    </w:p>
    <w:p>
      <w:pPr>
        <w:ind w:right="2220" w:firstLine="10"/>
        <w:spacing w:after="0" w:line="264" w:lineRule="auto"/>
        <w:tabs>
          <w:tab w:leader="none" w:pos="5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compensatory plan or arrangement required to be filed by Item 601 of Regulation S-K. ** Filed herewith.</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Furnished herewith</w:t>
      </w:r>
    </w:p>
    <w:p>
      <w:pPr>
        <w:spacing w:after="0" w:line="10"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Submitted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800"/>
          </w:cols>
          <w:pgMar w:left="720" w:top="790" w:right="720" w:bottom="135" w:gutter="0" w:footer="0" w:header="0"/>
        </w:sectPr>
      </w:pPr>
    </w:p>
    <w:bookmarkStart w:id="86" w:name="page87"/>
    <w:bookmarkEnd w:id="86"/>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20"/>
          <w:szCs w:val="20"/>
          <w:b w:val="1"/>
          <w:bCs w:val="1"/>
          <w:color w:val="auto"/>
        </w:rPr>
        <w:t>Form 10-K Summary.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has elected not to provide summary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4580"/>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080"/>
          </w:cols>
          <w:pgMar w:left="720" w:top="781" w:right="1440" w:bottom="135"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5" w:lineRule="exact"/>
        <w:rPr>
          <w:sz w:val="20"/>
          <w:szCs w:val="20"/>
          <w:color w:val="auto"/>
        </w:rPr>
      </w:pPr>
    </w:p>
    <w:p>
      <w:pPr>
        <w:ind w:right="580"/>
        <w:spacing w:after="0" w:line="277"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as amended, the registrant has duly caused this report to be signed on its behalf by the undersigned, thereunto duly authorized.</w:t>
      </w:r>
    </w:p>
    <w:p>
      <w:pPr>
        <w:spacing w:after="0" w:line="16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BIMINI CAPITAL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920" w:val="left"/>
          <w:tab w:leader="none" w:pos="5400" w:val="left"/>
          <w:tab w:leader="none" w:pos="594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March 13,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Robert E. Cauley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3781425</wp:posOffset>
                </wp:positionH>
                <wp:positionV relativeFrom="paragraph">
                  <wp:posOffset>21590</wp:posOffset>
                </wp:positionV>
                <wp:extent cx="2880360"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36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7.75pt,1.7pt" to="524.55pt,1.7pt" o:allowincell="f" strokecolor="#000000" strokeweight="0.7199pt"/>
            </w:pict>
          </mc:Fallback>
        </mc:AlternateContent>
      </w:r>
    </w:p>
    <w:p>
      <w:pPr>
        <w:spacing w:after="0" w:line="1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color w:val="auto"/>
        </w:rPr>
        <w:t>Robert E. Cauley</w:t>
      </w:r>
    </w:p>
    <w:p>
      <w:pPr>
        <w:spacing w:after="0" w:line="1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color w:val="auto"/>
        </w:rPr>
        <w:t>Chairman and Chief Executive Officer</w:t>
      </w:r>
    </w:p>
    <w:p>
      <w:pPr>
        <w:spacing w:after="0" w:line="200" w:lineRule="exact"/>
        <w:rPr>
          <w:sz w:val="20"/>
          <w:szCs w:val="20"/>
          <w:color w:val="auto"/>
        </w:rPr>
      </w:pPr>
    </w:p>
    <w:p>
      <w:pPr>
        <w:spacing w:after="0" w:line="242" w:lineRule="exact"/>
        <w:rPr>
          <w:sz w:val="20"/>
          <w:szCs w:val="20"/>
          <w:color w:val="auto"/>
        </w:rPr>
      </w:pPr>
    </w:p>
    <w:p>
      <w:pPr>
        <w:spacing w:after="0"/>
        <w:tabs>
          <w:tab w:leader="none" w:pos="920" w:val="left"/>
          <w:tab w:leader="none" w:pos="5380" w:val="left"/>
          <w:tab w:leader="none" w:pos="594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March 13,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G. Hunter Haas, IV</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3778250</wp:posOffset>
                </wp:positionH>
                <wp:positionV relativeFrom="paragraph">
                  <wp:posOffset>22225</wp:posOffset>
                </wp:positionV>
                <wp:extent cx="2880360"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36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7.5pt,1.75pt" to="524.3pt,1.75pt" o:allowincell="f" strokecolor="#000000" strokeweight="0.7199pt"/>
            </w:pict>
          </mc:Fallback>
        </mc:AlternateContent>
      </w:r>
    </w:p>
    <w:p>
      <w:pPr>
        <w:spacing w:after="0" w:line="1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color w:val="auto"/>
        </w:rPr>
        <w:t>G. Hunter Haas, IV</w:t>
      </w:r>
    </w:p>
    <w:p>
      <w:pPr>
        <w:spacing w:after="0" w:line="1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color w:val="auto"/>
        </w:rPr>
        <w:t>President, Chief Financial Officer,</w:t>
      </w:r>
    </w:p>
    <w:p>
      <w:pPr>
        <w:ind w:left="5960"/>
        <w:spacing w:after="0"/>
        <w:rPr>
          <w:sz w:val="20"/>
          <w:szCs w:val="20"/>
          <w:color w:val="auto"/>
        </w:rPr>
      </w:pPr>
      <w:r>
        <w:rPr>
          <w:rFonts w:ascii="Times New Roman" w:cs="Times New Roman" w:eastAsia="Times New Roman" w:hAnsi="Times New Roman"/>
          <w:sz w:val="20"/>
          <w:szCs w:val="20"/>
          <w:color w:val="auto"/>
        </w:rPr>
        <w:t>Chief Investment Officer and Treasurer</w:t>
      </w:r>
    </w:p>
    <w:p>
      <w:pPr>
        <w:ind w:left="5960"/>
        <w:spacing w:after="0"/>
        <w:rPr>
          <w:sz w:val="20"/>
          <w:szCs w:val="20"/>
          <w:color w:val="auto"/>
        </w:rPr>
      </w:pPr>
      <w:r>
        <w:rPr>
          <w:rFonts w:ascii="Times New Roman" w:cs="Times New Roman" w:eastAsia="Times New Roman" w:hAnsi="Times New Roman"/>
          <w:sz w:val="20"/>
          <w:szCs w:val="20"/>
          <w:color w:val="auto"/>
        </w:rPr>
        <w:t>(Principal Financial Officer and Principal</w:t>
      </w:r>
    </w:p>
    <w:p>
      <w:pPr>
        <w:ind w:left="5960"/>
        <w:spacing w:after="0"/>
        <w:rPr>
          <w:sz w:val="20"/>
          <w:szCs w:val="20"/>
          <w:color w:val="auto"/>
        </w:rPr>
      </w:pPr>
      <w:r>
        <w:rPr>
          <w:rFonts w:ascii="Times New Roman" w:cs="Times New Roman" w:eastAsia="Times New Roman" w:hAnsi="Times New Roman"/>
          <w:sz w:val="20"/>
          <w:szCs w:val="20"/>
          <w:color w:val="auto"/>
        </w:rPr>
        <w:t>Accounting Officer)</w:t>
      </w:r>
    </w:p>
    <w:p>
      <w:pPr>
        <w:spacing w:after="0" w:line="206" w:lineRule="exact"/>
        <w:rPr>
          <w:sz w:val="20"/>
          <w:szCs w:val="20"/>
          <w:color w:val="auto"/>
        </w:rPr>
      </w:pPr>
    </w:p>
    <w:p>
      <w:pPr>
        <w:ind w:right="440" w:firstLine="360"/>
        <w:spacing w:after="0" w:line="278"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by the following persons on behalf of the registrant and in the capacities indicated on March 13, 2026.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Signature</w:t>
            </w:r>
          </w:p>
        </w:tc>
        <w:tc>
          <w:tcPr>
            <w:tcW w:w="400" w:type="dxa"/>
            <w:vAlign w:val="bottom"/>
          </w:tcPr>
          <w:p>
            <w:pPr>
              <w:spacing w:after="0"/>
              <w:rPr>
                <w:sz w:val="22"/>
                <w:szCs w:val="22"/>
                <w:color w:val="auto"/>
              </w:rPr>
            </w:pPr>
          </w:p>
        </w:tc>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Capacity</w:t>
            </w:r>
          </w:p>
        </w:tc>
        <w:tc>
          <w:tcPr>
            <w:tcW w:w="0" w:type="dxa"/>
            <w:vAlign w:val="bottom"/>
          </w:tcPr>
          <w:p>
            <w:pPr>
              <w:spacing w:after="0"/>
              <w:rPr>
                <w:sz w:val="1"/>
                <w:szCs w:val="1"/>
                <w:color w:val="auto"/>
              </w:rPr>
            </w:pPr>
          </w:p>
        </w:tc>
      </w:tr>
      <w:tr>
        <w:trPr>
          <w:trHeight w:val="473"/>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Robert E. Cauley</w:t>
            </w:r>
          </w:p>
        </w:tc>
        <w:tc>
          <w:tcPr>
            <w:tcW w:w="400" w:type="dxa"/>
            <w:vAlign w:val="bottom"/>
          </w:tcPr>
          <w:p>
            <w:pPr>
              <w:spacing w:after="0"/>
              <w:rPr>
                <w:sz w:val="24"/>
                <w:szCs w:val="24"/>
                <w:color w:val="auto"/>
              </w:rPr>
            </w:pPr>
          </w:p>
        </w:tc>
        <w:tc>
          <w:tcPr>
            <w:tcW w:w="67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Director, Chairman of the Board and</w:t>
            </w:r>
          </w:p>
        </w:tc>
        <w:tc>
          <w:tcPr>
            <w:tcW w:w="0" w:type="dxa"/>
            <w:vAlign w:val="bottom"/>
          </w:tcPr>
          <w:p>
            <w:pPr>
              <w:spacing w:after="0"/>
              <w:rPr>
                <w:sz w:val="1"/>
                <w:szCs w:val="1"/>
                <w:color w:val="auto"/>
              </w:rPr>
            </w:pPr>
          </w:p>
        </w:tc>
      </w:tr>
      <w:tr>
        <w:trPr>
          <w:trHeight w:val="205"/>
        </w:trPr>
        <w:tc>
          <w:tcPr>
            <w:tcW w:w="3640" w:type="dxa"/>
            <w:vAlign w:val="bottom"/>
          </w:tcPr>
          <w:p>
            <w:pPr>
              <w:spacing w:after="0" w:line="206" w:lineRule="exact"/>
              <w:rPr>
                <w:sz w:val="20"/>
                <w:szCs w:val="20"/>
                <w:color w:val="auto"/>
              </w:rPr>
            </w:pPr>
            <w:r>
              <w:rPr>
                <w:rFonts w:ascii="Times New Roman" w:cs="Times New Roman" w:eastAsia="Times New Roman" w:hAnsi="Times New Roman"/>
                <w:sz w:val="20"/>
                <w:szCs w:val="20"/>
                <w:color w:val="auto"/>
              </w:rPr>
              <w:t>Robert E. Cauley</w:t>
            </w:r>
          </w:p>
        </w:tc>
        <w:tc>
          <w:tcPr>
            <w:tcW w:w="400" w:type="dxa"/>
            <w:vAlign w:val="bottom"/>
          </w:tcPr>
          <w:p>
            <w:pPr>
              <w:spacing w:after="0"/>
              <w:rPr>
                <w:sz w:val="17"/>
                <w:szCs w:val="17"/>
                <w:color w:val="auto"/>
              </w:rPr>
            </w:pPr>
          </w:p>
        </w:tc>
        <w:tc>
          <w:tcPr>
            <w:tcW w:w="6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w:t>
            </w:r>
          </w:p>
        </w:tc>
        <w:tc>
          <w:tcPr>
            <w:tcW w:w="0" w:type="dxa"/>
            <w:vAlign w:val="bottom"/>
          </w:tcPr>
          <w:p>
            <w:pPr>
              <w:spacing w:after="0"/>
              <w:rPr>
                <w:sz w:val="1"/>
                <w:szCs w:val="1"/>
                <w:color w:val="auto"/>
              </w:rPr>
            </w:pPr>
          </w:p>
        </w:tc>
      </w:tr>
      <w:tr>
        <w:trPr>
          <w:trHeight w:val="470"/>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G. Hunter Haas, IV</w:t>
            </w:r>
          </w:p>
        </w:tc>
        <w:tc>
          <w:tcPr>
            <w:tcW w:w="400" w:type="dxa"/>
            <w:vAlign w:val="bottom"/>
          </w:tcPr>
          <w:p>
            <w:pPr>
              <w:spacing w:after="0"/>
              <w:rPr>
                <w:sz w:val="24"/>
                <w:szCs w:val="24"/>
                <w:color w:val="auto"/>
              </w:rPr>
            </w:pPr>
          </w:p>
        </w:tc>
        <w:tc>
          <w:tcPr>
            <w:tcW w:w="67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w w:val="99"/>
              </w:rPr>
              <w:t>Director, President, Chief Financial Officer, Chief Investment Officer and Treasurer</w:t>
            </w:r>
          </w:p>
        </w:tc>
        <w:tc>
          <w:tcPr>
            <w:tcW w:w="0" w:type="dxa"/>
            <w:vAlign w:val="bottom"/>
          </w:tcPr>
          <w:p>
            <w:pPr>
              <w:spacing w:after="0"/>
              <w:rPr>
                <w:sz w:val="1"/>
                <w:szCs w:val="1"/>
                <w:color w:val="auto"/>
              </w:rPr>
            </w:pPr>
          </w:p>
        </w:tc>
      </w:tr>
      <w:tr>
        <w:trPr>
          <w:trHeight w:val="205"/>
        </w:trPr>
        <w:tc>
          <w:tcPr>
            <w:tcW w:w="3640" w:type="dxa"/>
            <w:vAlign w:val="bottom"/>
          </w:tcPr>
          <w:p>
            <w:pPr>
              <w:spacing w:after="0" w:line="206" w:lineRule="exact"/>
              <w:rPr>
                <w:sz w:val="20"/>
                <w:szCs w:val="20"/>
                <w:color w:val="auto"/>
              </w:rPr>
            </w:pPr>
            <w:r>
              <w:rPr>
                <w:rFonts w:ascii="Times New Roman" w:cs="Times New Roman" w:eastAsia="Times New Roman" w:hAnsi="Times New Roman"/>
                <w:sz w:val="20"/>
                <w:szCs w:val="20"/>
                <w:color w:val="auto"/>
              </w:rPr>
              <w:t>G. Hunter Haas, IV</w:t>
            </w:r>
          </w:p>
        </w:tc>
        <w:tc>
          <w:tcPr>
            <w:tcW w:w="400" w:type="dxa"/>
            <w:vAlign w:val="bottom"/>
          </w:tcPr>
          <w:p>
            <w:pPr>
              <w:spacing w:after="0"/>
              <w:rPr>
                <w:sz w:val="17"/>
                <w:szCs w:val="17"/>
                <w:color w:val="auto"/>
              </w:rPr>
            </w:pPr>
          </w:p>
        </w:tc>
        <w:tc>
          <w:tcPr>
            <w:tcW w:w="6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20"/>
                <w:szCs w:val="20"/>
                <w:color w:val="auto"/>
              </w:rPr>
              <w:t>(Principal Financial Officer and Principal Accounting Officer)</w:t>
            </w:r>
          </w:p>
        </w:tc>
        <w:tc>
          <w:tcPr>
            <w:tcW w:w="0" w:type="dxa"/>
            <w:vAlign w:val="bottom"/>
          </w:tcPr>
          <w:p>
            <w:pPr>
              <w:spacing w:after="0"/>
              <w:rPr>
                <w:sz w:val="1"/>
                <w:szCs w:val="1"/>
                <w:color w:val="auto"/>
              </w:rPr>
            </w:pPr>
          </w:p>
        </w:tc>
      </w:tr>
      <w:tr>
        <w:trPr>
          <w:trHeight w:val="472"/>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Robert J. Dwyer</w:t>
            </w:r>
          </w:p>
        </w:tc>
        <w:tc>
          <w:tcPr>
            <w:tcW w:w="400" w:type="dxa"/>
            <w:vAlign w:val="bottom"/>
          </w:tcPr>
          <w:p>
            <w:pPr>
              <w:spacing w:after="0"/>
              <w:rPr>
                <w:sz w:val="24"/>
                <w:szCs w:val="24"/>
                <w:color w:val="auto"/>
              </w:rPr>
            </w:pPr>
          </w:p>
        </w:tc>
        <w:tc>
          <w:tcPr>
            <w:tcW w:w="67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61"/>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auto"/>
              </w:rPr>
              <w:t>Robert J. Dwyer</w:t>
            </w:r>
          </w:p>
        </w:tc>
        <w:tc>
          <w:tcPr>
            <w:tcW w:w="400" w:type="dxa"/>
            <w:vAlign w:val="bottom"/>
          </w:tcPr>
          <w:p>
            <w:pPr>
              <w:spacing w:after="0"/>
              <w:rPr>
                <w:sz w:val="22"/>
                <w:szCs w:val="22"/>
                <w:color w:val="auto"/>
              </w:rPr>
            </w:pPr>
          </w:p>
        </w:tc>
        <w:tc>
          <w:tcPr>
            <w:tcW w:w="6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51"/>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Ashley Griffith</w:t>
            </w:r>
          </w:p>
        </w:tc>
        <w:tc>
          <w:tcPr>
            <w:tcW w:w="400" w:type="dxa"/>
            <w:vAlign w:val="bottom"/>
          </w:tcPr>
          <w:p>
            <w:pPr>
              <w:spacing w:after="0"/>
              <w:rPr>
                <w:sz w:val="24"/>
                <w:szCs w:val="24"/>
                <w:color w:val="auto"/>
              </w:rPr>
            </w:pPr>
          </w:p>
        </w:tc>
        <w:tc>
          <w:tcPr>
            <w:tcW w:w="67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61"/>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auto"/>
              </w:rPr>
              <w:t>Ashley Griffith</w:t>
            </w:r>
          </w:p>
        </w:tc>
        <w:tc>
          <w:tcPr>
            <w:tcW w:w="400" w:type="dxa"/>
            <w:vAlign w:val="bottom"/>
          </w:tcPr>
          <w:p>
            <w:pPr>
              <w:spacing w:after="0"/>
              <w:rPr>
                <w:sz w:val="22"/>
                <w:szCs w:val="22"/>
                <w:color w:val="auto"/>
              </w:rPr>
            </w:pPr>
          </w:p>
        </w:tc>
        <w:tc>
          <w:tcPr>
            <w:tcW w:w="6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800"/>
          </w:cols>
          <w:pgMar w:left="720" w:top="1057" w:right="720" w:bottom="135" w:gutter="0" w:footer="0" w:header="0"/>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90" w:name="page91"/>
    <w:bookmarkEnd w:id="90"/>
    <w:p>
      <w:pPr>
        <w:spacing w:after="0"/>
        <w:rPr>
          <w:sz w:val="20"/>
          <w:szCs w:val="20"/>
          <w:color w:val="auto"/>
        </w:rPr>
      </w:pPr>
      <w:r>
        <w:rPr>
          <w:rFonts w:ascii="Arial Narrow" w:cs="Arial Narrow" w:eastAsia="Arial Narrow" w:hAnsi="Arial Narrow"/>
          <w:sz w:val="21"/>
          <w:szCs w:val="21"/>
          <w:b w:val="1"/>
          <w:bCs w:val="1"/>
          <w:color w:val="161616"/>
        </w:rPr>
        <w:t>C</w:t>
      </w:r>
      <w:r>
        <w:rPr>
          <w:rFonts w:ascii="Arial Narrow" w:cs="Arial Narrow" w:eastAsia="Arial Narrow" w:hAnsi="Arial Narrow"/>
          <w:sz w:val="19"/>
          <w:szCs w:val="19"/>
          <w:b w:val="1"/>
          <w:bCs w:val="1"/>
          <w:color w:val="161616"/>
        </w:rPr>
        <w:t>ORPORATE</w:t>
      </w:r>
      <w:r>
        <w:rPr>
          <w:rFonts w:ascii="Arial Narrow" w:cs="Arial Narrow" w:eastAsia="Arial Narrow" w:hAnsi="Arial Narrow"/>
          <w:sz w:val="21"/>
          <w:szCs w:val="21"/>
          <w:b w:val="1"/>
          <w:bCs w:val="1"/>
          <w:color w:val="161616"/>
        </w:rPr>
        <w:t xml:space="preserve"> I</w:t>
      </w:r>
      <w:r>
        <w:rPr>
          <w:rFonts w:ascii="Arial Narrow" w:cs="Arial Narrow" w:eastAsia="Arial Narrow" w:hAnsi="Arial Narrow"/>
          <w:sz w:val="19"/>
          <w:szCs w:val="19"/>
          <w:b w:val="1"/>
          <w:bCs w:val="1"/>
          <w:color w:val="161616"/>
        </w:rPr>
        <w:t>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-60325</wp:posOffset>
                </wp:positionH>
                <wp:positionV relativeFrom="paragraph">
                  <wp:posOffset>24765</wp:posOffset>
                </wp:positionV>
                <wp:extent cx="6790055"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90055" cy="4763"/>
                        </a:xfrm>
                        <a:prstGeom prst="line">
                          <a:avLst/>
                        </a:prstGeom>
                        <a:solidFill>
                          <a:srgbClr val="FFFFFF"/>
                        </a:solidFill>
                        <a:ln w="5777">
                          <a:solidFill>
                            <a:srgbClr val="161616"/>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499pt,1.95pt" to="529.9pt,1.95pt" o:allowincell="f" strokecolor="#161616" strokeweight="0.4549pt"/>
            </w:pict>
          </mc:Fallback>
        </mc:AlternateConten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270"/>
        </w:trPr>
        <w:tc>
          <w:tcPr>
            <w:tcW w:w="2400" w:type="dxa"/>
            <w:vAlign w:val="bottom"/>
            <w:tcBorders>
              <w:bottom w:val="single" w:sz="8" w:color="161616"/>
            </w:tcBorders>
          </w:tcPr>
          <w:p>
            <w:pPr>
              <w:ind w:left="100"/>
              <w:spacing w:after="0"/>
              <w:rPr>
                <w:sz w:val="20"/>
                <w:szCs w:val="20"/>
                <w:color w:val="auto"/>
              </w:rPr>
            </w:pPr>
            <w:r>
              <w:rPr>
                <w:rFonts w:ascii="Arial Narrow" w:cs="Arial Narrow" w:eastAsia="Arial Narrow" w:hAnsi="Arial Narrow"/>
                <w:sz w:val="19"/>
                <w:szCs w:val="19"/>
                <w:b w:val="1"/>
                <w:bCs w:val="1"/>
                <w:color w:val="161616"/>
              </w:rPr>
              <w:t>BOARD OF DIRECTORS</w:t>
            </w:r>
          </w:p>
        </w:tc>
        <w:tc>
          <w:tcPr>
            <w:tcW w:w="260" w:type="dxa"/>
            <w:vAlign w:val="bottom"/>
          </w:tcPr>
          <w:p>
            <w:pPr>
              <w:spacing w:after="0"/>
              <w:rPr>
                <w:sz w:val="23"/>
                <w:szCs w:val="23"/>
                <w:color w:val="auto"/>
              </w:rPr>
            </w:pPr>
          </w:p>
        </w:tc>
        <w:tc>
          <w:tcPr>
            <w:tcW w:w="2380" w:type="dxa"/>
            <w:vAlign w:val="bottom"/>
            <w:tcBorders>
              <w:bottom w:val="single" w:sz="8" w:color="161616"/>
            </w:tcBorders>
          </w:tcPr>
          <w:p>
            <w:pPr>
              <w:ind w:left="100"/>
              <w:spacing w:after="0"/>
              <w:rPr>
                <w:sz w:val="20"/>
                <w:szCs w:val="20"/>
                <w:color w:val="auto"/>
              </w:rPr>
            </w:pPr>
            <w:r>
              <w:rPr>
                <w:rFonts w:ascii="Arial Narrow" w:cs="Arial Narrow" w:eastAsia="Arial Narrow" w:hAnsi="Arial Narrow"/>
                <w:sz w:val="19"/>
                <w:szCs w:val="19"/>
                <w:b w:val="1"/>
                <w:bCs w:val="1"/>
                <w:color w:val="161616"/>
              </w:rPr>
              <w:t>OFFICERS</w:t>
            </w:r>
          </w:p>
        </w:tc>
        <w:tc>
          <w:tcPr>
            <w:tcW w:w="360" w:type="dxa"/>
            <w:vAlign w:val="bottom"/>
          </w:tcPr>
          <w:p>
            <w:pPr>
              <w:spacing w:after="0"/>
              <w:rPr>
                <w:sz w:val="23"/>
                <w:szCs w:val="23"/>
                <w:color w:val="auto"/>
              </w:rPr>
            </w:pPr>
          </w:p>
        </w:tc>
        <w:tc>
          <w:tcPr>
            <w:tcW w:w="3500" w:type="dxa"/>
            <w:vAlign w:val="bottom"/>
            <w:tcBorders>
              <w:bottom w:val="single" w:sz="8" w:color="161616"/>
            </w:tcBorders>
          </w:tcPr>
          <w:p>
            <w:pPr>
              <w:ind w:left="100"/>
              <w:spacing w:after="0"/>
              <w:rPr>
                <w:sz w:val="20"/>
                <w:szCs w:val="20"/>
                <w:color w:val="auto"/>
              </w:rPr>
            </w:pPr>
            <w:r>
              <w:rPr>
                <w:rFonts w:ascii="Arial Narrow" w:cs="Arial Narrow" w:eastAsia="Arial Narrow" w:hAnsi="Arial Narrow"/>
                <w:sz w:val="19"/>
                <w:szCs w:val="19"/>
                <w:b w:val="1"/>
                <w:bCs w:val="1"/>
                <w:color w:val="161616"/>
              </w:rPr>
              <w:t>HEADQUARTERS</w:t>
            </w:r>
          </w:p>
        </w:tc>
        <w:tc>
          <w:tcPr>
            <w:tcW w:w="0" w:type="dxa"/>
            <w:vAlign w:val="bottom"/>
          </w:tcPr>
          <w:p>
            <w:pPr>
              <w:spacing w:after="0"/>
              <w:rPr>
                <w:sz w:val="1"/>
                <w:szCs w:val="1"/>
                <w:color w:val="auto"/>
              </w:rPr>
            </w:pPr>
          </w:p>
        </w:tc>
      </w:tr>
      <w:tr>
        <w:trPr>
          <w:trHeight w:val="444"/>
        </w:trPr>
        <w:tc>
          <w:tcPr>
            <w:tcW w:w="2400" w:type="dxa"/>
            <w:vAlign w:val="bottom"/>
          </w:tcPr>
          <w:p>
            <w:pPr>
              <w:ind w:left="60"/>
              <w:spacing w:after="0"/>
              <w:rPr>
                <w:sz w:val="20"/>
                <w:szCs w:val="20"/>
                <w:color w:val="auto"/>
              </w:rPr>
            </w:pPr>
            <w:r>
              <w:rPr>
                <w:rFonts w:ascii="Arial Narrow" w:cs="Arial Narrow" w:eastAsia="Arial Narrow" w:hAnsi="Arial Narrow"/>
                <w:sz w:val="19"/>
                <w:szCs w:val="19"/>
                <w:b w:val="1"/>
                <w:bCs w:val="1"/>
                <w:color w:val="161616"/>
              </w:rPr>
              <w:t>Robert E. Cauley</w:t>
            </w:r>
          </w:p>
        </w:tc>
        <w:tc>
          <w:tcPr>
            <w:tcW w:w="2640" w:type="dxa"/>
            <w:vAlign w:val="bottom"/>
            <w:gridSpan w:val="2"/>
          </w:tcPr>
          <w:p>
            <w:pPr>
              <w:ind w:left="220"/>
              <w:spacing w:after="0"/>
              <w:rPr>
                <w:sz w:val="20"/>
                <w:szCs w:val="20"/>
                <w:color w:val="auto"/>
              </w:rPr>
            </w:pPr>
            <w:r>
              <w:rPr>
                <w:rFonts w:ascii="Arial Narrow" w:cs="Arial Narrow" w:eastAsia="Arial Narrow" w:hAnsi="Arial Narrow"/>
                <w:sz w:val="19"/>
                <w:szCs w:val="19"/>
                <w:b w:val="1"/>
                <w:bCs w:val="1"/>
                <w:color w:val="161616"/>
              </w:rPr>
              <w:t>Robert E. Cauley</w:t>
            </w:r>
          </w:p>
        </w:tc>
        <w:tc>
          <w:tcPr>
            <w:tcW w:w="360" w:type="dxa"/>
            <w:vAlign w:val="bottom"/>
          </w:tcPr>
          <w:p>
            <w:pPr>
              <w:spacing w:after="0"/>
              <w:rPr>
                <w:sz w:val="24"/>
                <w:szCs w:val="24"/>
                <w:color w:val="auto"/>
              </w:rPr>
            </w:pPr>
          </w:p>
        </w:tc>
        <w:tc>
          <w:tcPr>
            <w:tcW w:w="3500" w:type="dxa"/>
            <w:vAlign w:val="bottom"/>
          </w:tcPr>
          <w:p>
            <w:pPr>
              <w:ind w:left="100"/>
              <w:spacing w:after="0"/>
              <w:rPr>
                <w:sz w:val="20"/>
                <w:szCs w:val="20"/>
                <w:color w:val="auto"/>
              </w:rPr>
            </w:pPr>
            <w:r>
              <w:rPr>
                <w:rFonts w:ascii="Arial Narrow" w:cs="Arial Narrow" w:eastAsia="Arial Narrow" w:hAnsi="Arial Narrow"/>
                <w:sz w:val="19"/>
                <w:szCs w:val="19"/>
                <w:b w:val="1"/>
                <w:bCs w:val="1"/>
                <w:color w:val="161616"/>
              </w:rPr>
              <w:t>Bimini Capital Management, Inc.</w:t>
            </w:r>
          </w:p>
        </w:tc>
        <w:tc>
          <w:tcPr>
            <w:tcW w:w="0" w:type="dxa"/>
            <w:vAlign w:val="bottom"/>
          </w:tcPr>
          <w:p>
            <w:pPr>
              <w:spacing w:after="0"/>
              <w:rPr>
                <w:sz w:val="1"/>
                <w:szCs w:val="1"/>
                <w:color w:val="auto"/>
              </w:rPr>
            </w:pPr>
          </w:p>
        </w:tc>
      </w:tr>
      <w:tr>
        <w:trPr>
          <w:trHeight w:val="240"/>
        </w:trPr>
        <w:tc>
          <w:tcPr>
            <w:tcW w:w="2400" w:type="dxa"/>
            <w:vAlign w:val="bottom"/>
          </w:tcPr>
          <w:p>
            <w:pPr>
              <w:ind w:left="60"/>
              <w:spacing w:after="0"/>
              <w:rPr>
                <w:sz w:val="20"/>
                <w:szCs w:val="20"/>
                <w:color w:val="auto"/>
              </w:rPr>
            </w:pPr>
            <w:r>
              <w:rPr>
                <w:rFonts w:ascii="Arial Narrow" w:cs="Arial Narrow" w:eastAsia="Arial Narrow" w:hAnsi="Arial Narrow"/>
                <w:sz w:val="19"/>
                <w:szCs w:val="19"/>
                <w:color w:val="161616"/>
              </w:rPr>
              <w:t>Chairman of the Board</w:t>
            </w:r>
          </w:p>
        </w:tc>
        <w:tc>
          <w:tcPr>
            <w:tcW w:w="2640" w:type="dxa"/>
            <w:vAlign w:val="bottom"/>
            <w:gridSpan w:val="2"/>
          </w:tcPr>
          <w:p>
            <w:pPr>
              <w:ind w:left="220"/>
              <w:spacing w:after="0"/>
              <w:rPr>
                <w:sz w:val="20"/>
                <w:szCs w:val="20"/>
                <w:color w:val="auto"/>
              </w:rPr>
            </w:pPr>
            <w:r>
              <w:rPr>
                <w:rFonts w:ascii="Arial Narrow" w:cs="Arial Narrow" w:eastAsia="Arial Narrow" w:hAnsi="Arial Narrow"/>
                <w:sz w:val="19"/>
                <w:szCs w:val="19"/>
                <w:color w:val="161616"/>
              </w:rPr>
              <w:t>Chief Executive Officer</w:t>
            </w:r>
          </w:p>
        </w:tc>
        <w:tc>
          <w:tcPr>
            <w:tcW w:w="360" w:type="dxa"/>
            <w:vAlign w:val="bottom"/>
          </w:tcPr>
          <w:p>
            <w:pPr>
              <w:spacing w:after="0"/>
              <w:rPr>
                <w:sz w:val="20"/>
                <w:szCs w:val="20"/>
                <w:color w:val="auto"/>
              </w:rPr>
            </w:pPr>
          </w:p>
        </w:tc>
        <w:tc>
          <w:tcPr>
            <w:tcW w:w="3500" w:type="dxa"/>
            <w:vAlign w:val="bottom"/>
          </w:tcPr>
          <w:p>
            <w:pPr>
              <w:ind w:left="100"/>
              <w:spacing w:after="0"/>
              <w:rPr>
                <w:sz w:val="20"/>
                <w:szCs w:val="20"/>
                <w:color w:val="auto"/>
              </w:rPr>
            </w:pPr>
            <w:r>
              <w:rPr>
                <w:rFonts w:ascii="Arial Narrow" w:cs="Arial Narrow" w:eastAsia="Arial Narrow" w:hAnsi="Arial Narrow"/>
                <w:sz w:val="19"/>
                <w:szCs w:val="19"/>
                <w:color w:val="161616"/>
              </w:rPr>
              <w:t>3305 Flamingo Drive</w:t>
            </w:r>
          </w:p>
        </w:tc>
        <w:tc>
          <w:tcPr>
            <w:tcW w:w="0" w:type="dxa"/>
            <w:vAlign w:val="bottom"/>
          </w:tcPr>
          <w:p>
            <w:pPr>
              <w:spacing w:after="0"/>
              <w:rPr>
                <w:sz w:val="1"/>
                <w:szCs w:val="1"/>
                <w:color w:val="auto"/>
              </w:rPr>
            </w:pPr>
          </w:p>
        </w:tc>
      </w:tr>
      <w:tr>
        <w:trPr>
          <w:trHeight w:val="240"/>
        </w:trPr>
        <w:tc>
          <w:tcPr>
            <w:tcW w:w="2400" w:type="dxa"/>
            <w:vAlign w:val="bottom"/>
            <w:vMerge w:val="restart"/>
          </w:tcPr>
          <w:p>
            <w:pPr>
              <w:ind w:left="60"/>
              <w:spacing w:after="0"/>
              <w:rPr>
                <w:sz w:val="20"/>
                <w:szCs w:val="20"/>
                <w:color w:val="auto"/>
              </w:rPr>
            </w:pPr>
            <w:r>
              <w:rPr>
                <w:rFonts w:ascii="Arial Narrow" w:cs="Arial Narrow" w:eastAsia="Arial Narrow" w:hAnsi="Arial Narrow"/>
                <w:sz w:val="19"/>
                <w:szCs w:val="19"/>
                <w:b w:val="1"/>
                <w:bCs w:val="1"/>
                <w:color w:val="161616"/>
              </w:rPr>
              <w:t>Robert J. Dwyer</w:t>
            </w:r>
          </w:p>
        </w:tc>
        <w:tc>
          <w:tcPr>
            <w:tcW w:w="2640" w:type="dxa"/>
            <w:vAlign w:val="bottom"/>
            <w:gridSpan w:val="2"/>
            <w:vMerge w:val="restart"/>
          </w:tcPr>
          <w:p>
            <w:pPr>
              <w:ind w:left="220"/>
              <w:spacing w:after="0"/>
              <w:rPr>
                <w:sz w:val="20"/>
                <w:szCs w:val="20"/>
                <w:color w:val="auto"/>
              </w:rPr>
            </w:pPr>
            <w:r>
              <w:rPr>
                <w:rFonts w:ascii="Arial Narrow" w:cs="Arial Narrow" w:eastAsia="Arial Narrow" w:hAnsi="Arial Narrow"/>
                <w:sz w:val="19"/>
                <w:szCs w:val="19"/>
                <w:b w:val="1"/>
                <w:bCs w:val="1"/>
                <w:color w:val="161616"/>
              </w:rPr>
              <w:t>G.</w:t>
            </w:r>
            <w:r>
              <w:rPr>
                <w:rFonts w:ascii="PMingLiU" w:cs="PMingLiU" w:eastAsia="PMingLiU" w:hAnsi="PMingLiU"/>
                <w:sz w:val="19"/>
                <w:szCs w:val="19"/>
                <w:b w:val="1"/>
                <w:bCs w:val="1"/>
                <w:color w:val="161616"/>
              </w:rPr>
              <w:t/>
            </w:r>
            <w:r>
              <w:rPr>
                <w:rFonts w:ascii="Arial Narrow" w:cs="Arial Narrow" w:eastAsia="Arial Narrow" w:hAnsi="Arial Narrow"/>
                <w:sz w:val="19"/>
                <w:szCs w:val="19"/>
                <w:b w:val="1"/>
                <w:bCs w:val="1"/>
                <w:color w:val="161616"/>
              </w:rPr>
              <w:t>Hunter Haas, IV</w:t>
            </w:r>
            <w:r>
              <w:rPr>
                <w:rFonts w:ascii="PMingLiU" w:cs="PMingLiU" w:eastAsia="PMingLiU" w:hAnsi="PMingLiU"/>
                <w:sz w:val="19"/>
                <w:szCs w:val="19"/>
                <w:b w:val="1"/>
                <w:bCs w:val="1"/>
                <w:color w:val="161616"/>
              </w:rPr>
              <w:t/>
            </w:r>
          </w:p>
        </w:tc>
        <w:tc>
          <w:tcPr>
            <w:tcW w:w="360" w:type="dxa"/>
            <w:vAlign w:val="bottom"/>
          </w:tcPr>
          <w:p>
            <w:pPr>
              <w:spacing w:after="0"/>
              <w:rPr>
                <w:sz w:val="20"/>
                <w:szCs w:val="20"/>
                <w:color w:val="auto"/>
              </w:rPr>
            </w:pPr>
          </w:p>
        </w:tc>
        <w:tc>
          <w:tcPr>
            <w:tcW w:w="3500" w:type="dxa"/>
            <w:vAlign w:val="bottom"/>
          </w:tcPr>
          <w:p>
            <w:pPr>
              <w:ind w:left="100"/>
              <w:spacing w:after="0"/>
              <w:rPr>
                <w:sz w:val="20"/>
                <w:szCs w:val="20"/>
                <w:color w:val="auto"/>
              </w:rPr>
            </w:pPr>
            <w:r>
              <w:rPr>
                <w:rFonts w:ascii="Arial Narrow" w:cs="Arial Narrow" w:eastAsia="Arial Narrow" w:hAnsi="Arial Narrow"/>
                <w:sz w:val="19"/>
                <w:szCs w:val="19"/>
                <w:color w:val="161616"/>
              </w:rPr>
              <w:t>Vero Beach, FL 32963</w:t>
            </w:r>
          </w:p>
        </w:tc>
        <w:tc>
          <w:tcPr>
            <w:tcW w:w="0" w:type="dxa"/>
            <w:vAlign w:val="bottom"/>
          </w:tcPr>
          <w:p>
            <w:pPr>
              <w:spacing w:after="0"/>
              <w:rPr>
                <w:sz w:val="1"/>
                <w:szCs w:val="1"/>
                <w:color w:val="auto"/>
              </w:rPr>
            </w:pPr>
          </w:p>
        </w:tc>
      </w:tr>
      <w:tr>
        <w:trPr>
          <w:trHeight w:val="240"/>
        </w:trPr>
        <w:tc>
          <w:tcPr>
            <w:tcW w:w="2400" w:type="dxa"/>
            <w:vAlign w:val="bottom"/>
            <w:vMerge w:val="continue"/>
          </w:tcPr>
          <w:p>
            <w:pPr>
              <w:spacing w:after="0"/>
              <w:rPr>
                <w:sz w:val="20"/>
                <w:szCs w:val="20"/>
                <w:color w:val="auto"/>
              </w:rPr>
            </w:pPr>
          </w:p>
        </w:tc>
        <w:tc>
          <w:tcPr>
            <w:tcW w:w="2640" w:type="dxa"/>
            <w:vAlign w:val="bottom"/>
            <w:gridSpan w:val="2"/>
            <w:vMerge w:val="continue"/>
          </w:tcPr>
          <w:p>
            <w:pPr>
              <w:spacing w:after="0"/>
              <w:rPr>
                <w:sz w:val="20"/>
                <w:szCs w:val="20"/>
                <w:color w:val="auto"/>
              </w:rPr>
            </w:pPr>
          </w:p>
        </w:tc>
        <w:tc>
          <w:tcPr>
            <w:tcW w:w="3860" w:type="dxa"/>
            <w:vAlign w:val="bottom"/>
            <w:gridSpan w:val="2"/>
          </w:tcPr>
          <w:p>
            <w:pPr>
              <w:ind w:left="460"/>
              <w:spacing w:after="0"/>
              <w:rPr>
                <w:sz w:val="20"/>
                <w:szCs w:val="20"/>
                <w:color w:val="auto"/>
              </w:rPr>
            </w:pPr>
            <w:r>
              <w:rPr>
                <w:rFonts w:ascii="Arial Narrow" w:cs="Arial Narrow" w:eastAsia="Arial Narrow" w:hAnsi="Arial Narrow"/>
                <w:sz w:val="19"/>
                <w:szCs w:val="19"/>
                <w:color w:val="161616"/>
              </w:rPr>
              <w:t>(772) 231-1400</w:t>
            </w:r>
          </w:p>
        </w:tc>
        <w:tc>
          <w:tcPr>
            <w:tcW w:w="0" w:type="dxa"/>
            <w:vAlign w:val="bottom"/>
          </w:tcPr>
          <w:p>
            <w:pPr>
              <w:spacing w:after="0"/>
              <w:rPr>
                <w:sz w:val="1"/>
                <w:szCs w:val="1"/>
                <w:color w:val="auto"/>
              </w:rPr>
            </w:pPr>
          </w:p>
        </w:tc>
      </w:tr>
      <w:tr>
        <w:trPr>
          <w:trHeight w:val="240"/>
        </w:trPr>
        <w:tc>
          <w:tcPr>
            <w:tcW w:w="2400" w:type="dxa"/>
            <w:vAlign w:val="bottom"/>
          </w:tcPr>
          <w:p>
            <w:pPr>
              <w:ind w:left="60"/>
              <w:spacing w:after="0"/>
              <w:rPr>
                <w:sz w:val="20"/>
                <w:szCs w:val="20"/>
                <w:color w:val="auto"/>
              </w:rPr>
            </w:pPr>
            <w:r>
              <w:rPr>
                <w:rFonts w:ascii="Arial Narrow" w:cs="Arial Narrow" w:eastAsia="Arial Narrow" w:hAnsi="Arial Narrow"/>
                <w:sz w:val="19"/>
                <w:szCs w:val="19"/>
                <w:color w:val="161616"/>
              </w:rPr>
              <w:t>Independent Director,</w:t>
            </w:r>
          </w:p>
        </w:tc>
        <w:tc>
          <w:tcPr>
            <w:tcW w:w="2640" w:type="dxa"/>
            <w:vAlign w:val="bottom"/>
            <w:gridSpan w:val="2"/>
          </w:tcPr>
          <w:p>
            <w:pPr>
              <w:ind w:left="220"/>
              <w:spacing w:after="0"/>
              <w:rPr>
                <w:sz w:val="20"/>
                <w:szCs w:val="20"/>
                <w:color w:val="auto"/>
              </w:rPr>
            </w:pPr>
            <w:r>
              <w:rPr>
                <w:rFonts w:ascii="Arial Narrow" w:cs="Arial Narrow" w:eastAsia="Arial Narrow" w:hAnsi="Arial Narrow"/>
                <w:sz w:val="19"/>
                <w:szCs w:val="19"/>
                <w:color w:val="161616"/>
              </w:rPr>
              <w:t>President, Chief Investment</w:t>
            </w:r>
            <w:r>
              <w:rPr>
                <w:rFonts w:ascii="PMingLiU" w:cs="PMingLiU" w:eastAsia="PMingLiU" w:hAnsi="PMingLiU"/>
                <w:sz w:val="19"/>
                <w:szCs w:val="19"/>
                <w:color w:val="161616"/>
              </w:rPr>
              <w:t/>
            </w:r>
          </w:p>
        </w:tc>
        <w:tc>
          <w:tcPr>
            <w:tcW w:w="3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400" w:type="dxa"/>
            <w:vAlign w:val="bottom"/>
          </w:tcPr>
          <w:p>
            <w:pPr>
              <w:ind w:left="60"/>
              <w:spacing w:after="0"/>
              <w:rPr>
                <w:sz w:val="20"/>
                <w:szCs w:val="20"/>
                <w:color w:val="auto"/>
              </w:rPr>
            </w:pPr>
            <w:r>
              <w:rPr>
                <w:rFonts w:ascii="Arial Narrow" w:cs="Arial Narrow" w:eastAsia="Arial Narrow" w:hAnsi="Arial Narrow"/>
                <w:sz w:val="19"/>
                <w:szCs w:val="19"/>
                <w:color w:val="161616"/>
              </w:rPr>
              <w:t>Chair of Audit Committee</w:t>
            </w:r>
          </w:p>
        </w:tc>
        <w:tc>
          <w:tcPr>
            <w:tcW w:w="2640" w:type="dxa"/>
            <w:vAlign w:val="bottom"/>
            <w:gridSpan w:val="2"/>
          </w:tcPr>
          <w:p>
            <w:pPr>
              <w:ind w:left="220"/>
              <w:spacing w:after="0"/>
              <w:rPr>
                <w:sz w:val="20"/>
                <w:szCs w:val="20"/>
                <w:color w:val="auto"/>
              </w:rPr>
            </w:pPr>
            <w:r>
              <w:rPr>
                <w:rFonts w:ascii="Arial Narrow" w:cs="Arial Narrow" w:eastAsia="Arial Narrow" w:hAnsi="Arial Narrow"/>
                <w:sz w:val="19"/>
                <w:szCs w:val="19"/>
                <w:color w:val="161616"/>
              </w:rPr>
              <w:t>Officer, Chief Financial</w:t>
            </w:r>
            <w:r>
              <w:rPr>
                <w:rFonts w:ascii="PMingLiU" w:cs="PMingLiU" w:eastAsia="PMingLiU" w:hAnsi="PMingLiU"/>
                <w:sz w:val="19"/>
                <w:szCs w:val="19"/>
                <w:color w:val="161616"/>
              </w:rPr>
              <w:t/>
            </w:r>
          </w:p>
        </w:tc>
        <w:tc>
          <w:tcPr>
            <w:tcW w:w="360" w:type="dxa"/>
            <w:vAlign w:val="bottom"/>
          </w:tcPr>
          <w:p>
            <w:pPr>
              <w:spacing w:after="0"/>
              <w:rPr>
                <w:sz w:val="20"/>
                <w:szCs w:val="20"/>
                <w:color w:val="auto"/>
              </w:rPr>
            </w:pPr>
          </w:p>
        </w:tc>
        <w:tc>
          <w:tcPr>
            <w:tcW w:w="3500" w:type="dxa"/>
            <w:vAlign w:val="bottom"/>
            <w:vMerge w:val="restart"/>
          </w:tcPr>
          <w:p>
            <w:pPr>
              <w:ind w:left="100"/>
              <w:spacing w:after="0"/>
              <w:rPr>
                <w:sz w:val="20"/>
                <w:szCs w:val="20"/>
                <w:color w:val="auto"/>
              </w:rPr>
            </w:pPr>
            <w:r>
              <w:rPr>
                <w:rFonts w:ascii="Arial Narrow" w:cs="Arial Narrow" w:eastAsia="Arial Narrow" w:hAnsi="Arial Narrow"/>
                <w:sz w:val="19"/>
                <w:szCs w:val="19"/>
                <w:b w:val="1"/>
                <w:bCs w:val="1"/>
                <w:color w:val="161616"/>
              </w:rPr>
              <w:t>TRANSFER AGENT &amp; REGISTRAR</w:t>
            </w:r>
          </w:p>
        </w:tc>
        <w:tc>
          <w:tcPr>
            <w:tcW w:w="0" w:type="dxa"/>
            <w:vAlign w:val="bottom"/>
          </w:tcPr>
          <w:p>
            <w:pPr>
              <w:spacing w:after="0"/>
              <w:rPr>
                <w:sz w:val="1"/>
                <w:szCs w:val="1"/>
                <w:color w:val="auto"/>
              </w:rPr>
            </w:pPr>
          </w:p>
        </w:tc>
      </w:tr>
      <w:tr>
        <w:trPr>
          <w:trHeight w:val="273"/>
        </w:trPr>
        <w:tc>
          <w:tcPr>
            <w:tcW w:w="2400" w:type="dxa"/>
            <w:vAlign w:val="bottom"/>
          </w:tcPr>
          <w:p>
            <w:pPr>
              <w:ind w:left="60"/>
              <w:spacing w:after="0"/>
              <w:rPr>
                <w:sz w:val="20"/>
                <w:szCs w:val="20"/>
                <w:color w:val="auto"/>
              </w:rPr>
            </w:pPr>
            <w:r>
              <w:rPr>
                <w:rFonts w:ascii="Arial Narrow" w:cs="Arial Narrow" w:eastAsia="Arial Narrow" w:hAnsi="Arial Narrow"/>
                <w:sz w:val="19"/>
                <w:szCs w:val="19"/>
                <w:color w:val="161616"/>
              </w:rPr>
              <w:t>Chair of Compensation</w:t>
            </w:r>
          </w:p>
        </w:tc>
        <w:tc>
          <w:tcPr>
            <w:tcW w:w="2640" w:type="dxa"/>
            <w:vAlign w:val="bottom"/>
            <w:gridSpan w:val="2"/>
          </w:tcPr>
          <w:p>
            <w:pPr>
              <w:ind w:left="220"/>
              <w:spacing w:after="0"/>
              <w:rPr>
                <w:sz w:val="20"/>
                <w:szCs w:val="20"/>
                <w:color w:val="auto"/>
              </w:rPr>
            </w:pPr>
            <w:r>
              <w:rPr>
                <w:rFonts w:ascii="Arial Narrow" w:cs="Arial Narrow" w:eastAsia="Arial Narrow" w:hAnsi="Arial Narrow"/>
                <w:sz w:val="19"/>
                <w:szCs w:val="19"/>
                <w:color w:val="161616"/>
              </w:rPr>
              <w:t>Officer and Treasurer</w:t>
            </w:r>
          </w:p>
        </w:tc>
        <w:tc>
          <w:tcPr>
            <w:tcW w:w="360" w:type="dxa"/>
            <w:vAlign w:val="bottom"/>
          </w:tcPr>
          <w:p>
            <w:pPr>
              <w:spacing w:after="0"/>
              <w:rPr>
                <w:sz w:val="23"/>
                <w:szCs w:val="23"/>
                <w:color w:val="auto"/>
              </w:rPr>
            </w:pPr>
          </w:p>
        </w:tc>
        <w:tc>
          <w:tcPr>
            <w:tcW w:w="3500" w:type="dxa"/>
            <w:vAlign w:val="bottom"/>
            <w:tcBorders>
              <w:bottom w:val="single" w:sz="8" w:color="161616"/>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400" w:type="dxa"/>
            <w:vAlign w:val="bottom"/>
          </w:tcPr>
          <w:p>
            <w:pPr>
              <w:ind w:left="60"/>
              <w:spacing w:after="0" w:line="199" w:lineRule="exact"/>
              <w:rPr>
                <w:sz w:val="20"/>
                <w:szCs w:val="20"/>
                <w:color w:val="auto"/>
              </w:rPr>
            </w:pPr>
            <w:r>
              <w:rPr>
                <w:rFonts w:ascii="Arial Narrow" w:cs="Arial Narrow" w:eastAsia="Arial Narrow" w:hAnsi="Arial Narrow"/>
                <w:sz w:val="19"/>
                <w:szCs w:val="19"/>
                <w:color w:val="161616"/>
              </w:rPr>
              <w:t>Committee &amp; Chair of</w:t>
            </w:r>
          </w:p>
        </w:tc>
        <w:tc>
          <w:tcPr>
            <w:tcW w:w="2640" w:type="dxa"/>
            <w:vAlign w:val="bottom"/>
            <w:gridSpan w:val="2"/>
            <w:vMerge w:val="restart"/>
          </w:tcPr>
          <w:p>
            <w:pPr>
              <w:ind w:left="220"/>
              <w:spacing w:after="0"/>
              <w:rPr>
                <w:sz w:val="20"/>
                <w:szCs w:val="20"/>
                <w:color w:val="auto"/>
              </w:rPr>
            </w:pPr>
            <w:r>
              <w:rPr>
                <w:rFonts w:ascii="Arial Narrow" w:cs="Arial Narrow" w:eastAsia="Arial Narrow" w:hAnsi="Arial Narrow"/>
                <w:sz w:val="19"/>
                <w:szCs w:val="19"/>
                <w:b w:val="1"/>
                <w:bCs w:val="1"/>
                <w:color w:val="161616"/>
              </w:rPr>
              <w:t>Jerry M. Sintes</w:t>
            </w:r>
          </w:p>
        </w:tc>
        <w:tc>
          <w:tcPr>
            <w:tcW w:w="360" w:type="dxa"/>
            <w:vAlign w:val="bottom"/>
          </w:tcPr>
          <w:p>
            <w:pPr>
              <w:spacing w:after="0"/>
              <w:rPr>
                <w:sz w:val="17"/>
                <w:szCs w:val="17"/>
                <w:color w:val="auto"/>
              </w:rPr>
            </w:pPr>
          </w:p>
        </w:tc>
        <w:tc>
          <w:tcPr>
            <w:tcW w:w="3500" w:type="dxa"/>
            <w:vAlign w:val="bottom"/>
            <w:vMerge w:val="restart"/>
          </w:tcPr>
          <w:p>
            <w:pPr>
              <w:ind w:left="100"/>
              <w:spacing w:after="0"/>
              <w:rPr>
                <w:sz w:val="20"/>
                <w:szCs w:val="20"/>
                <w:color w:val="auto"/>
              </w:rPr>
            </w:pPr>
            <w:r>
              <w:rPr>
                <w:rFonts w:ascii="Arial Narrow" w:cs="Arial Narrow" w:eastAsia="Arial Narrow" w:hAnsi="Arial Narrow"/>
                <w:sz w:val="19"/>
                <w:szCs w:val="19"/>
                <w:b w:val="1"/>
                <w:bCs w:val="1"/>
                <w:color w:val="161616"/>
              </w:rPr>
              <w:t>Broadridge Corporate</w:t>
            </w:r>
          </w:p>
        </w:tc>
        <w:tc>
          <w:tcPr>
            <w:tcW w:w="0" w:type="dxa"/>
            <w:vAlign w:val="bottom"/>
          </w:tcPr>
          <w:p>
            <w:pPr>
              <w:spacing w:after="0"/>
              <w:rPr>
                <w:sz w:val="1"/>
                <w:szCs w:val="1"/>
                <w:color w:val="auto"/>
              </w:rPr>
            </w:pPr>
          </w:p>
        </w:tc>
      </w:tr>
      <w:tr>
        <w:trPr>
          <w:trHeight w:val="238"/>
        </w:trPr>
        <w:tc>
          <w:tcPr>
            <w:tcW w:w="2400" w:type="dxa"/>
            <w:vAlign w:val="bottom"/>
          </w:tcPr>
          <w:p>
            <w:pPr>
              <w:ind w:left="60"/>
              <w:spacing w:after="0"/>
              <w:rPr>
                <w:sz w:val="20"/>
                <w:szCs w:val="20"/>
                <w:color w:val="auto"/>
              </w:rPr>
            </w:pPr>
            <w:r>
              <w:rPr>
                <w:rFonts w:ascii="Arial Narrow" w:cs="Arial Narrow" w:eastAsia="Arial Narrow" w:hAnsi="Arial Narrow"/>
                <w:sz w:val="19"/>
                <w:szCs w:val="19"/>
                <w:color w:val="161616"/>
              </w:rPr>
              <w:t>Corporate Governance and</w:t>
            </w:r>
          </w:p>
        </w:tc>
        <w:tc>
          <w:tcPr>
            <w:tcW w:w="264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3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400" w:type="dxa"/>
            <w:vAlign w:val="bottom"/>
          </w:tcPr>
          <w:p>
            <w:pPr>
              <w:ind w:left="60"/>
              <w:spacing w:after="0"/>
              <w:rPr>
                <w:sz w:val="20"/>
                <w:szCs w:val="20"/>
                <w:color w:val="auto"/>
              </w:rPr>
            </w:pPr>
            <w:r>
              <w:rPr>
                <w:rFonts w:ascii="Arial Narrow" w:cs="Arial Narrow" w:eastAsia="Arial Narrow" w:hAnsi="Arial Narrow"/>
                <w:sz w:val="19"/>
                <w:szCs w:val="19"/>
                <w:color w:val="161616"/>
              </w:rPr>
              <w:t>Nominating Committee</w:t>
            </w:r>
          </w:p>
        </w:tc>
        <w:tc>
          <w:tcPr>
            <w:tcW w:w="2640" w:type="dxa"/>
            <w:vAlign w:val="bottom"/>
            <w:gridSpan w:val="2"/>
          </w:tcPr>
          <w:p>
            <w:pPr>
              <w:ind w:left="200"/>
              <w:spacing w:after="0"/>
              <w:rPr>
                <w:sz w:val="20"/>
                <w:szCs w:val="20"/>
                <w:color w:val="auto"/>
              </w:rPr>
            </w:pPr>
            <w:r>
              <w:rPr>
                <w:rFonts w:ascii="Arial Narrow" w:cs="Arial Narrow" w:eastAsia="Arial Narrow" w:hAnsi="Arial Narrow"/>
                <w:sz w:val="19"/>
                <w:szCs w:val="19"/>
                <w:color w:val="161616"/>
              </w:rPr>
              <w:t>Vice President and</w:t>
            </w:r>
          </w:p>
        </w:tc>
        <w:tc>
          <w:tcPr>
            <w:tcW w:w="360" w:type="dxa"/>
            <w:vAlign w:val="bottom"/>
          </w:tcPr>
          <w:p>
            <w:pPr>
              <w:spacing w:after="0"/>
              <w:rPr>
                <w:sz w:val="21"/>
                <w:szCs w:val="21"/>
                <w:color w:val="auto"/>
              </w:rPr>
            </w:pPr>
          </w:p>
        </w:tc>
        <w:tc>
          <w:tcPr>
            <w:tcW w:w="3500" w:type="dxa"/>
            <w:vAlign w:val="bottom"/>
          </w:tcPr>
          <w:p>
            <w:pPr>
              <w:ind w:left="100"/>
              <w:spacing w:after="0"/>
              <w:rPr>
                <w:sz w:val="20"/>
                <w:szCs w:val="20"/>
                <w:color w:val="auto"/>
              </w:rPr>
            </w:pPr>
            <w:r>
              <w:rPr>
                <w:rFonts w:ascii="Arial Narrow" w:cs="Arial Narrow" w:eastAsia="Arial Narrow" w:hAnsi="Arial Narrow"/>
                <w:sz w:val="19"/>
                <w:szCs w:val="19"/>
                <w:b w:val="1"/>
                <w:bCs w:val="1"/>
                <w:color w:val="161616"/>
              </w:rPr>
              <w:t>Issuer Solutions, Inc.</w:t>
            </w:r>
          </w:p>
        </w:tc>
        <w:tc>
          <w:tcPr>
            <w:tcW w:w="0" w:type="dxa"/>
            <w:vAlign w:val="bottom"/>
          </w:tcPr>
          <w:p>
            <w:pPr>
              <w:spacing w:after="0"/>
              <w:rPr>
                <w:sz w:val="1"/>
                <w:szCs w:val="1"/>
                <w:color w:val="auto"/>
              </w:rPr>
            </w:pPr>
          </w:p>
        </w:tc>
      </w:tr>
      <w:tr>
        <w:trPr>
          <w:trHeight w:val="241"/>
        </w:trPr>
        <w:tc>
          <w:tcPr>
            <w:tcW w:w="2400" w:type="dxa"/>
            <w:vAlign w:val="bottom"/>
          </w:tcPr>
          <w:p>
            <w:pPr>
              <w:spacing w:after="0"/>
              <w:rPr>
                <w:sz w:val="20"/>
                <w:szCs w:val="20"/>
                <w:color w:val="auto"/>
              </w:rPr>
            </w:pPr>
          </w:p>
        </w:tc>
        <w:tc>
          <w:tcPr>
            <w:tcW w:w="2640" w:type="dxa"/>
            <w:vAlign w:val="bottom"/>
            <w:gridSpan w:val="2"/>
          </w:tcPr>
          <w:p>
            <w:pPr>
              <w:ind w:left="200"/>
              <w:spacing w:after="0"/>
              <w:rPr>
                <w:sz w:val="20"/>
                <w:szCs w:val="20"/>
                <w:color w:val="auto"/>
              </w:rPr>
            </w:pPr>
            <w:r>
              <w:rPr>
                <w:rFonts w:ascii="Arial Narrow" w:cs="Arial Narrow" w:eastAsia="Arial Narrow" w:hAnsi="Arial Narrow"/>
                <w:sz w:val="19"/>
                <w:szCs w:val="19"/>
                <w:color w:val="161616"/>
              </w:rPr>
              <w:t>&amp;RQWUROOHU</w:t>
            </w:r>
          </w:p>
        </w:tc>
        <w:tc>
          <w:tcPr>
            <w:tcW w:w="360" w:type="dxa"/>
            <w:vAlign w:val="bottom"/>
          </w:tcPr>
          <w:p>
            <w:pPr>
              <w:spacing w:after="0"/>
              <w:rPr>
                <w:sz w:val="20"/>
                <w:szCs w:val="20"/>
                <w:color w:val="auto"/>
              </w:rPr>
            </w:pPr>
          </w:p>
        </w:tc>
        <w:tc>
          <w:tcPr>
            <w:tcW w:w="3500" w:type="dxa"/>
            <w:vAlign w:val="bottom"/>
          </w:tcPr>
          <w:p>
            <w:pPr>
              <w:ind w:left="100"/>
              <w:spacing w:after="0"/>
              <w:rPr>
                <w:sz w:val="20"/>
                <w:szCs w:val="20"/>
                <w:color w:val="auto"/>
              </w:rPr>
            </w:pPr>
            <w:r>
              <w:rPr>
                <w:rFonts w:ascii="Arial Narrow" w:cs="Arial Narrow" w:eastAsia="Arial Narrow" w:hAnsi="Arial Narrow"/>
                <w:sz w:val="19"/>
                <w:szCs w:val="19"/>
                <w:color w:val="161616"/>
              </w:rPr>
              <w:t>Broadridge Corporate Issuer Solutions</w:t>
            </w:r>
          </w:p>
        </w:tc>
        <w:tc>
          <w:tcPr>
            <w:tcW w:w="0" w:type="dxa"/>
            <w:vAlign w:val="bottom"/>
          </w:tcPr>
          <w:p>
            <w:pPr>
              <w:spacing w:after="0"/>
              <w:rPr>
                <w:sz w:val="1"/>
                <w:szCs w:val="1"/>
                <w:color w:val="auto"/>
              </w:rPr>
            </w:pPr>
          </w:p>
        </w:tc>
      </w:tr>
      <w:tr>
        <w:trPr>
          <w:trHeight w:val="240"/>
        </w:trPr>
        <w:tc>
          <w:tcPr>
            <w:tcW w:w="2400" w:type="dxa"/>
            <w:vAlign w:val="bottom"/>
          </w:tcPr>
          <w:p>
            <w:pPr>
              <w:ind w:left="60"/>
              <w:spacing w:after="0"/>
              <w:rPr>
                <w:sz w:val="20"/>
                <w:szCs w:val="20"/>
                <w:color w:val="auto"/>
              </w:rPr>
            </w:pPr>
            <w:r>
              <w:rPr>
                <w:rFonts w:ascii="Arial Narrow" w:cs="Arial Narrow" w:eastAsia="Arial Narrow" w:hAnsi="Arial Narrow"/>
                <w:sz w:val="19"/>
                <w:szCs w:val="19"/>
                <w:b w:val="1"/>
                <w:bCs w:val="1"/>
                <w:color w:val="161616"/>
              </w:rPr>
              <w:t>$VKOH\</w:t>
            </w:r>
            <w:r>
              <w:rPr>
                <w:rFonts w:ascii="PMingLiU" w:cs="PMingLiU" w:eastAsia="PMingLiU" w:hAnsi="PMingLiU"/>
                <w:sz w:val="19"/>
                <w:szCs w:val="19"/>
                <w:b w:val="1"/>
                <w:bCs w:val="1"/>
                <w:color w:val="161616"/>
              </w:rPr>
              <w:t/>
            </w:r>
            <w:r>
              <w:rPr>
                <w:rFonts w:ascii="Arial Narrow" w:cs="Arial Narrow" w:eastAsia="Arial Narrow" w:hAnsi="Arial Narrow"/>
                <w:sz w:val="19"/>
                <w:szCs w:val="19"/>
                <w:b w:val="1"/>
                <w:bCs w:val="1"/>
                <w:color w:val="161616"/>
              </w:rPr>
              <w:t>%</w:t>
            </w:r>
            <w:r>
              <w:rPr>
                <w:rFonts w:ascii="PMingLiU" w:cs="PMingLiU" w:eastAsia="PMingLiU" w:hAnsi="PMingLiU"/>
                <w:sz w:val="19"/>
                <w:szCs w:val="19"/>
                <w:b w:val="1"/>
                <w:bCs w:val="1"/>
                <w:color w:val="161616"/>
              </w:rPr>
              <w:t/>
            </w:r>
            <w:r>
              <w:rPr>
                <w:rFonts w:ascii="Arial Narrow" w:cs="Arial Narrow" w:eastAsia="Arial Narrow" w:hAnsi="Arial Narrow"/>
                <w:sz w:val="19"/>
                <w:szCs w:val="19"/>
                <w:b w:val="1"/>
                <w:bCs w:val="1"/>
                <w:color w:val="161616"/>
              </w:rPr>
              <w:t>*ULIILWK</w:t>
            </w:r>
            <w:r>
              <w:rPr>
                <w:rFonts w:ascii="PMingLiU" w:cs="PMingLiU" w:eastAsia="PMingLiU" w:hAnsi="PMingLiU"/>
                <w:sz w:val="19"/>
                <w:szCs w:val="19"/>
                <w:color w:val="161616"/>
              </w:rPr>
              <w:t/>
            </w: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00" w:type="dxa"/>
            <w:vAlign w:val="bottom"/>
          </w:tcPr>
          <w:p>
            <w:pPr>
              <w:ind w:left="100"/>
              <w:spacing w:after="0"/>
              <w:rPr>
                <w:sz w:val="20"/>
                <w:szCs w:val="20"/>
                <w:color w:val="auto"/>
              </w:rPr>
            </w:pPr>
            <w:r>
              <w:rPr>
                <w:rFonts w:ascii="Arial Narrow" w:cs="Arial Narrow" w:eastAsia="Arial Narrow" w:hAnsi="Arial Narrow"/>
                <w:sz w:val="19"/>
                <w:szCs w:val="19"/>
                <w:color w:val="161616"/>
              </w:rPr>
              <w:t>P.O. Box 1342</w:t>
            </w:r>
          </w:p>
        </w:tc>
        <w:tc>
          <w:tcPr>
            <w:tcW w:w="0" w:type="dxa"/>
            <w:vAlign w:val="bottom"/>
          </w:tcPr>
          <w:p>
            <w:pPr>
              <w:spacing w:after="0"/>
              <w:rPr>
                <w:sz w:val="1"/>
                <w:szCs w:val="1"/>
                <w:color w:val="auto"/>
              </w:rPr>
            </w:pPr>
          </w:p>
        </w:tc>
      </w:tr>
      <w:tr>
        <w:trPr>
          <w:trHeight w:val="239"/>
        </w:trPr>
        <w:tc>
          <w:tcPr>
            <w:tcW w:w="2400" w:type="dxa"/>
            <w:vAlign w:val="bottom"/>
          </w:tcPr>
          <w:p>
            <w:pPr>
              <w:ind w:left="60"/>
              <w:spacing w:after="0"/>
              <w:rPr>
                <w:sz w:val="20"/>
                <w:szCs w:val="20"/>
                <w:color w:val="auto"/>
              </w:rPr>
            </w:pPr>
            <w:r>
              <w:rPr>
                <w:rFonts w:ascii="Arial Narrow" w:cs="Arial Narrow" w:eastAsia="Arial Narrow" w:hAnsi="Arial Narrow"/>
                <w:sz w:val="19"/>
                <w:szCs w:val="19"/>
                <w:color w:val="161616"/>
              </w:rPr>
              <w:t>,QGHSHQGHQW</w:t>
            </w:r>
            <w:r>
              <w:rPr>
                <w:rFonts w:ascii="PMingLiU" w:cs="PMingLiU" w:eastAsia="PMingLiU" w:hAnsi="PMingLiU"/>
                <w:sz w:val="19"/>
                <w:szCs w:val="19"/>
                <w:color w:val="161616"/>
              </w:rPr>
              <w:t/>
            </w:r>
            <w:r>
              <w:rPr>
                <w:rFonts w:ascii="Arial Narrow" w:cs="Arial Narrow" w:eastAsia="Arial Narrow" w:hAnsi="Arial Narrow"/>
                <w:sz w:val="19"/>
                <w:szCs w:val="19"/>
                <w:color w:val="161616"/>
              </w:rPr>
              <w:t>'LUHFWRU</w:t>
            </w:r>
            <w:r>
              <w:rPr>
                <w:rFonts w:ascii="PMingLiU" w:cs="PMingLiU" w:eastAsia="PMingLiU" w:hAnsi="PMingLiU"/>
                <w:sz w:val="19"/>
                <w:szCs w:val="19"/>
                <w:color w:val="161616"/>
              </w:rPr>
              <w:t> </w:t>
            </w: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00" w:type="dxa"/>
            <w:vAlign w:val="bottom"/>
          </w:tcPr>
          <w:p>
            <w:pPr>
              <w:ind w:left="100"/>
              <w:spacing w:after="0"/>
              <w:rPr>
                <w:sz w:val="20"/>
                <w:szCs w:val="20"/>
                <w:color w:val="auto"/>
              </w:rPr>
            </w:pPr>
            <w:r>
              <w:rPr>
                <w:rFonts w:ascii="Arial Narrow" w:cs="Arial Narrow" w:eastAsia="Arial Narrow" w:hAnsi="Arial Narrow"/>
                <w:sz w:val="19"/>
                <w:szCs w:val="19"/>
                <w:color w:val="161616"/>
              </w:rPr>
              <w:t>Brentwood, NY 11717</w:t>
            </w:r>
          </w:p>
        </w:tc>
        <w:tc>
          <w:tcPr>
            <w:tcW w:w="0" w:type="dxa"/>
            <w:vAlign w:val="bottom"/>
          </w:tcPr>
          <w:p>
            <w:pPr>
              <w:spacing w:after="0"/>
              <w:rPr>
                <w:sz w:val="1"/>
                <w:szCs w:val="1"/>
                <w:color w:val="auto"/>
              </w:rPr>
            </w:pPr>
          </w:p>
        </w:tc>
      </w:tr>
      <w:tr>
        <w:trPr>
          <w:trHeight w:val="233"/>
        </w:trPr>
        <w:tc>
          <w:tcPr>
            <w:tcW w:w="2400" w:type="dxa"/>
            <w:vAlign w:val="bottom"/>
          </w:tcPr>
          <w:p>
            <w:pPr>
              <w:ind w:left="60"/>
              <w:spacing w:after="0"/>
              <w:rPr>
                <w:sz w:val="20"/>
                <w:szCs w:val="20"/>
                <w:color w:val="auto"/>
              </w:rPr>
            </w:pPr>
            <w:r>
              <w:rPr>
                <w:rFonts w:ascii="Arial Narrow" w:cs="Arial Narrow" w:eastAsia="Arial Narrow" w:hAnsi="Arial Narrow"/>
                <w:sz w:val="19"/>
                <w:szCs w:val="19"/>
                <w:color w:val="161616"/>
              </w:rPr>
              <w:t>$XGLW</w:t>
            </w:r>
            <w:r>
              <w:rPr>
                <w:rFonts w:ascii="PMingLiU" w:cs="PMingLiU" w:eastAsia="PMingLiU" w:hAnsi="PMingLiU"/>
                <w:sz w:val="19"/>
                <w:szCs w:val="19"/>
                <w:color w:val="161616"/>
              </w:rPr>
              <w:t/>
            </w:r>
            <w:r>
              <w:rPr>
                <w:rFonts w:ascii="Arial Narrow" w:cs="Arial Narrow" w:eastAsia="Arial Narrow" w:hAnsi="Arial Narrow"/>
                <w:sz w:val="19"/>
                <w:szCs w:val="19"/>
                <w:color w:val="161616"/>
              </w:rPr>
              <w:t>&amp;RPPLWWHH</w:t>
            </w:r>
            <w:r>
              <w:rPr>
                <w:rFonts w:ascii="PMingLiU" w:cs="PMingLiU" w:eastAsia="PMingLiU" w:hAnsi="PMingLiU"/>
                <w:sz w:val="19"/>
                <w:szCs w:val="19"/>
                <w:color w:val="161616"/>
              </w:rPr>
              <w:t/>
            </w:r>
            <w:r>
              <w:rPr>
                <w:rFonts w:ascii="Arial Narrow" w:cs="Arial Narrow" w:eastAsia="Arial Narrow" w:hAnsi="Arial Narrow"/>
                <w:sz w:val="19"/>
                <w:szCs w:val="19"/>
                <w:color w:val="161616"/>
              </w:rPr>
              <w:t>0HPEHU</w:t>
            </w: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00" w:type="dxa"/>
            <w:vAlign w:val="bottom"/>
          </w:tcPr>
          <w:p>
            <w:pPr>
              <w:ind w:left="100"/>
              <w:spacing w:after="0"/>
              <w:rPr>
                <w:sz w:val="20"/>
                <w:szCs w:val="20"/>
                <w:color w:val="auto"/>
              </w:rPr>
            </w:pPr>
            <w:r>
              <w:rPr>
                <w:rFonts w:ascii="Arial Narrow" w:cs="Arial Narrow" w:eastAsia="Arial Narrow" w:hAnsi="Arial Narrow"/>
                <w:sz w:val="19"/>
                <w:szCs w:val="19"/>
                <w:color w:val="161616"/>
              </w:rPr>
              <w:t>Phone: 877-830-4936</w:t>
            </w:r>
          </w:p>
        </w:tc>
        <w:tc>
          <w:tcPr>
            <w:tcW w:w="0" w:type="dxa"/>
            <w:vAlign w:val="bottom"/>
          </w:tcPr>
          <w:p>
            <w:pPr>
              <w:spacing w:after="0"/>
              <w:rPr>
                <w:sz w:val="1"/>
                <w:szCs w:val="1"/>
                <w:color w:val="auto"/>
              </w:rPr>
            </w:pPr>
          </w:p>
        </w:tc>
      </w:tr>
      <w:tr>
        <w:trPr>
          <w:trHeight w:val="239"/>
        </w:trPr>
        <w:tc>
          <w:tcPr>
            <w:tcW w:w="2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00" w:type="dxa"/>
            <w:vAlign w:val="bottom"/>
          </w:tcPr>
          <w:p>
            <w:pPr>
              <w:ind w:left="100"/>
              <w:spacing w:after="0"/>
              <w:rPr>
                <w:sz w:val="20"/>
                <w:szCs w:val="20"/>
                <w:color w:val="auto"/>
              </w:rPr>
            </w:pPr>
            <w:r>
              <w:rPr>
                <w:rFonts w:ascii="Arial Narrow" w:cs="Arial Narrow" w:eastAsia="Arial Narrow" w:hAnsi="Arial Narrow"/>
                <w:sz w:val="19"/>
                <w:szCs w:val="19"/>
                <w:color w:val="161616"/>
              </w:rPr>
              <w:t>Fax: 215-553-5402</w:t>
            </w:r>
          </w:p>
        </w:tc>
        <w:tc>
          <w:tcPr>
            <w:tcW w:w="0" w:type="dxa"/>
            <w:vAlign w:val="bottom"/>
          </w:tcPr>
          <w:p>
            <w:pPr>
              <w:spacing w:after="0"/>
              <w:rPr>
                <w:sz w:val="1"/>
                <w:szCs w:val="1"/>
                <w:color w:val="auto"/>
              </w:rPr>
            </w:pPr>
          </w:p>
        </w:tc>
      </w:tr>
      <w:tr>
        <w:trPr>
          <w:trHeight w:val="258"/>
        </w:trPr>
        <w:tc>
          <w:tcPr>
            <w:tcW w:w="2400" w:type="dxa"/>
            <w:vAlign w:val="bottom"/>
          </w:tcPr>
          <w:p>
            <w:pPr>
              <w:ind w:left="60"/>
              <w:spacing w:after="0"/>
              <w:rPr>
                <w:sz w:val="20"/>
                <w:szCs w:val="20"/>
                <w:color w:val="auto"/>
              </w:rPr>
            </w:pPr>
            <w:r>
              <w:rPr>
                <w:rFonts w:ascii="Arial Narrow" w:cs="Arial Narrow" w:eastAsia="Arial Narrow" w:hAnsi="Arial Narrow"/>
                <w:sz w:val="19"/>
                <w:szCs w:val="19"/>
                <w:b w:val="1"/>
                <w:bCs w:val="1"/>
                <w:color w:val="161616"/>
              </w:rPr>
              <w:t>*</w:t>
            </w:r>
            <w:r>
              <w:rPr>
                <w:rFonts w:ascii="PMingLiU" w:cs="PMingLiU" w:eastAsia="PMingLiU" w:hAnsi="PMingLiU"/>
                <w:sz w:val="19"/>
                <w:szCs w:val="19"/>
                <w:b w:val="1"/>
                <w:bCs w:val="1"/>
                <w:color w:val="161616"/>
              </w:rPr>
              <w:t/>
            </w:r>
            <w:r>
              <w:rPr>
                <w:rFonts w:ascii="Arial Narrow" w:cs="Arial Narrow" w:eastAsia="Arial Narrow" w:hAnsi="Arial Narrow"/>
                <w:sz w:val="19"/>
                <w:szCs w:val="19"/>
                <w:b w:val="1"/>
                <w:bCs w:val="1"/>
                <w:color w:val="161616"/>
              </w:rPr>
              <w:t>+XQWHU</w:t>
            </w:r>
            <w:r>
              <w:rPr>
                <w:rFonts w:ascii="PMingLiU" w:cs="PMingLiU" w:eastAsia="PMingLiU" w:hAnsi="PMingLiU"/>
                <w:sz w:val="19"/>
                <w:szCs w:val="19"/>
                <w:b w:val="1"/>
                <w:bCs w:val="1"/>
                <w:color w:val="161616"/>
              </w:rPr>
              <w:t/>
            </w:r>
            <w:r>
              <w:rPr>
                <w:rFonts w:ascii="Arial Narrow" w:cs="Arial Narrow" w:eastAsia="Arial Narrow" w:hAnsi="Arial Narrow"/>
                <w:sz w:val="19"/>
                <w:szCs w:val="19"/>
                <w:b w:val="1"/>
                <w:bCs w:val="1"/>
                <w:color w:val="161616"/>
              </w:rPr>
              <w:t>+DDV</w:t>
            </w:r>
            <w:r>
              <w:rPr>
                <w:rFonts w:ascii="PMingLiU" w:cs="PMingLiU" w:eastAsia="PMingLiU" w:hAnsi="PMingLiU"/>
                <w:sz w:val="19"/>
                <w:szCs w:val="19"/>
                <w:b w:val="1"/>
                <w:bCs w:val="1"/>
                <w:color w:val="161616"/>
              </w:rPr>
              <w:t/>
            </w:r>
            <w:r>
              <w:rPr>
                <w:rFonts w:ascii="Arial Narrow" w:cs="Arial Narrow" w:eastAsia="Arial Narrow" w:hAnsi="Arial Narrow"/>
                <w:sz w:val="19"/>
                <w:szCs w:val="19"/>
                <w:b w:val="1"/>
                <w:bCs w:val="1"/>
                <w:color w:val="161616"/>
              </w:rPr>
              <w:t>,9</w:t>
            </w:r>
            <w:r>
              <w:rPr>
                <w:rFonts w:ascii="PMingLiU" w:cs="PMingLiU" w:eastAsia="PMingLiU" w:hAnsi="PMingLiU"/>
                <w:sz w:val="19"/>
                <w:szCs w:val="19"/>
                <w:color w:val="161616"/>
              </w:rPr>
              <w:t/>
            </w:r>
          </w:p>
        </w:tc>
        <w:tc>
          <w:tcPr>
            <w:tcW w:w="2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500" w:type="dxa"/>
            <w:vAlign w:val="bottom"/>
          </w:tcPr>
          <w:p>
            <w:pPr>
              <w:ind w:left="80"/>
              <w:spacing w:after="0"/>
              <w:rPr>
                <w:sz w:val="20"/>
                <w:szCs w:val="20"/>
                <w:color w:val="auto"/>
              </w:rPr>
            </w:pPr>
            <w:r>
              <w:rPr>
                <w:rFonts w:ascii="Arial Narrow" w:cs="Arial Narrow" w:eastAsia="Arial Narrow" w:hAnsi="Arial Narrow"/>
                <w:sz w:val="19"/>
                <w:szCs w:val="19"/>
                <w:color w:val="161616"/>
              </w:rPr>
              <w:t>E-mail: shareholder@broadridge.com</w:t>
            </w:r>
          </w:p>
        </w:tc>
        <w:tc>
          <w:tcPr>
            <w:tcW w:w="0" w:type="dxa"/>
            <w:vAlign w:val="bottom"/>
          </w:tcPr>
          <w:p>
            <w:pPr>
              <w:spacing w:after="0"/>
              <w:rPr>
                <w:sz w:val="1"/>
                <w:szCs w:val="1"/>
                <w:color w:val="auto"/>
              </w:rPr>
            </w:pPr>
          </w:p>
        </w:tc>
      </w:tr>
      <w:tr>
        <w:trPr>
          <w:trHeight w:val="264"/>
        </w:trPr>
        <w:tc>
          <w:tcPr>
            <w:tcW w:w="2400" w:type="dxa"/>
            <w:vAlign w:val="bottom"/>
          </w:tcPr>
          <w:p>
            <w:pPr>
              <w:ind w:left="60"/>
              <w:spacing w:after="0"/>
              <w:rPr>
                <w:sz w:val="20"/>
                <w:szCs w:val="20"/>
                <w:color w:val="auto"/>
              </w:rPr>
            </w:pPr>
            <w:r>
              <w:rPr>
                <w:rFonts w:ascii="Arial Narrow" w:cs="Arial Narrow" w:eastAsia="Arial Narrow" w:hAnsi="Arial Narrow"/>
                <w:sz w:val="19"/>
                <w:szCs w:val="19"/>
                <w:color w:val="161616"/>
              </w:rPr>
              <w:t>'LUHFWRU</w:t>
            </w:r>
          </w:p>
        </w:tc>
        <w:tc>
          <w:tcPr>
            <w:tcW w:w="2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500" w:type="dxa"/>
            <w:vAlign w:val="bottom"/>
            <w:vMerge w:val="restart"/>
          </w:tcPr>
          <w:p>
            <w:pPr>
              <w:ind w:left="100"/>
              <w:spacing w:after="0"/>
              <w:rPr>
                <w:sz w:val="20"/>
                <w:szCs w:val="20"/>
                <w:color w:val="auto"/>
              </w:rPr>
            </w:pPr>
            <w:r>
              <w:rPr>
                <w:rFonts w:ascii="Arial Narrow" w:cs="Arial Narrow" w:eastAsia="Arial Narrow" w:hAnsi="Arial Narrow"/>
                <w:sz w:val="19"/>
                <w:szCs w:val="19"/>
                <w:b w:val="1"/>
                <w:bCs w:val="1"/>
                <w:color w:val="161616"/>
              </w:rPr>
              <w:t>STOCK SYMBOL</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00" w:type="dxa"/>
            <w:vAlign w:val="bottom"/>
            <w:tcBorders>
              <w:bottom w:val="single" w:sz="8" w:color="161616"/>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3"/>
        </w:trPr>
        <w:tc>
          <w:tcPr>
            <w:tcW w:w="2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00" w:type="dxa"/>
            <w:vAlign w:val="bottom"/>
          </w:tcPr>
          <w:p>
            <w:pPr>
              <w:ind w:left="100"/>
              <w:spacing w:after="0"/>
              <w:rPr>
                <w:sz w:val="20"/>
                <w:szCs w:val="20"/>
                <w:color w:val="auto"/>
              </w:rPr>
            </w:pPr>
            <w:r>
              <w:rPr>
                <w:rFonts w:ascii="Arial Narrow" w:cs="Arial Narrow" w:eastAsia="Arial Narrow" w:hAnsi="Arial Narrow"/>
                <w:sz w:val="19"/>
                <w:szCs w:val="19"/>
                <w:color w:val="161616"/>
              </w:rPr>
              <w:t>Bimini Capital Management, Inc’s Class</w:t>
            </w:r>
          </w:p>
        </w:tc>
        <w:tc>
          <w:tcPr>
            <w:tcW w:w="0" w:type="dxa"/>
            <w:vAlign w:val="bottom"/>
          </w:tcPr>
          <w:p>
            <w:pPr>
              <w:spacing w:after="0"/>
              <w:rPr>
                <w:sz w:val="1"/>
                <w:szCs w:val="1"/>
                <w:color w:val="auto"/>
              </w:rPr>
            </w:pPr>
          </w:p>
        </w:tc>
      </w:tr>
      <w:tr>
        <w:trPr>
          <w:trHeight w:val="240"/>
        </w:trPr>
        <w:tc>
          <w:tcPr>
            <w:tcW w:w="2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00" w:type="dxa"/>
            <w:vAlign w:val="bottom"/>
          </w:tcPr>
          <w:p>
            <w:pPr>
              <w:ind w:left="100"/>
              <w:spacing w:after="0"/>
              <w:rPr>
                <w:sz w:val="20"/>
                <w:szCs w:val="20"/>
                <w:color w:val="auto"/>
              </w:rPr>
            </w:pPr>
            <w:r>
              <w:rPr>
                <w:rFonts w:ascii="Arial Narrow" w:cs="Arial Narrow" w:eastAsia="Arial Narrow" w:hAnsi="Arial Narrow"/>
                <w:sz w:val="19"/>
                <w:szCs w:val="19"/>
                <w:color w:val="161616"/>
              </w:rPr>
              <w:t>A Common Stock is traded over-the-</w:t>
            </w:r>
          </w:p>
        </w:tc>
        <w:tc>
          <w:tcPr>
            <w:tcW w:w="0" w:type="dxa"/>
            <w:vAlign w:val="bottom"/>
          </w:tcPr>
          <w:p>
            <w:pPr>
              <w:spacing w:after="0"/>
              <w:rPr>
                <w:sz w:val="1"/>
                <w:szCs w:val="1"/>
                <w:color w:val="auto"/>
              </w:rPr>
            </w:pPr>
          </w:p>
        </w:tc>
      </w:tr>
      <w:tr>
        <w:trPr>
          <w:trHeight w:val="264"/>
        </w:trPr>
        <w:tc>
          <w:tcPr>
            <w:tcW w:w="2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500" w:type="dxa"/>
            <w:vAlign w:val="bottom"/>
          </w:tcPr>
          <w:p>
            <w:pPr>
              <w:ind w:left="100"/>
              <w:spacing w:after="0"/>
              <w:rPr>
                <w:sz w:val="20"/>
                <w:szCs w:val="20"/>
                <w:color w:val="auto"/>
              </w:rPr>
            </w:pPr>
            <w:r>
              <w:rPr>
                <w:rFonts w:ascii="Arial Narrow" w:cs="Arial Narrow" w:eastAsia="Arial Narrow" w:hAnsi="Arial Narrow"/>
                <w:sz w:val="19"/>
                <w:szCs w:val="19"/>
                <w:color w:val="161616"/>
              </w:rPr>
              <w:t>counter under the ticker symbol “BMNM.”</w:t>
            </w:r>
          </w:p>
        </w:tc>
        <w:tc>
          <w:tcPr>
            <w:tcW w:w="0" w:type="dxa"/>
            <w:vAlign w:val="bottom"/>
          </w:tcPr>
          <w:p>
            <w:pPr>
              <w:spacing w:after="0"/>
              <w:rPr>
                <w:sz w:val="1"/>
                <w:szCs w:val="1"/>
                <w:color w:val="auto"/>
              </w:rPr>
            </w:pPr>
          </w:p>
        </w:tc>
      </w:tr>
      <w:tr>
        <w:trPr>
          <w:trHeight w:val="482"/>
        </w:trPr>
        <w:tc>
          <w:tcPr>
            <w:tcW w:w="2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00" w:type="dxa"/>
            <w:vAlign w:val="bottom"/>
            <w:tcBorders>
              <w:bottom w:val="single" w:sz="8" w:color="161616"/>
            </w:tcBorders>
          </w:tcPr>
          <w:p>
            <w:pPr>
              <w:ind w:left="100"/>
              <w:spacing w:after="0"/>
              <w:rPr>
                <w:sz w:val="20"/>
                <w:szCs w:val="20"/>
                <w:color w:val="auto"/>
              </w:rPr>
            </w:pPr>
            <w:r>
              <w:rPr>
                <w:rFonts w:ascii="Arial Narrow" w:cs="Arial Narrow" w:eastAsia="Arial Narrow" w:hAnsi="Arial Narrow"/>
                <w:sz w:val="19"/>
                <w:szCs w:val="19"/>
                <w:b w:val="1"/>
                <w:bCs w:val="1"/>
                <w:color w:val="161616"/>
              </w:rPr>
              <w:t>ANNUAL MEETING</w:t>
            </w:r>
          </w:p>
        </w:tc>
        <w:tc>
          <w:tcPr>
            <w:tcW w:w="0" w:type="dxa"/>
            <w:vAlign w:val="bottom"/>
          </w:tcPr>
          <w:p>
            <w:pPr>
              <w:spacing w:after="0"/>
              <w:rPr>
                <w:sz w:val="1"/>
                <w:szCs w:val="1"/>
                <w:color w:val="auto"/>
              </w:rPr>
            </w:pPr>
          </w:p>
        </w:tc>
      </w:tr>
      <w:tr>
        <w:trPr>
          <w:trHeight w:val="444"/>
        </w:trPr>
        <w:tc>
          <w:tcPr>
            <w:tcW w:w="2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00" w:type="dxa"/>
            <w:vAlign w:val="bottom"/>
          </w:tcPr>
          <w:p>
            <w:pPr>
              <w:ind w:left="100"/>
              <w:spacing w:after="0"/>
              <w:rPr>
                <w:sz w:val="20"/>
                <w:szCs w:val="20"/>
                <w:color w:val="auto"/>
              </w:rPr>
            </w:pPr>
            <w:r>
              <w:rPr>
                <w:rFonts w:ascii="Arial Narrow" w:cs="Arial Narrow" w:eastAsia="Arial Narrow" w:hAnsi="Arial Narrow"/>
                <w:sz w:val="19"/>
                <w:szCs w:val="19"/>
                <w:color w:val="161616"/>
              </w:rPr>
              <w:t>The 20</w:t>
            </w:r>
            <w:r>
              <w:rPr>
                <w:rFonts w:ascii="PMingLiU" w:cs="PMingLiU" w:eastAsia="PMingLiU" w:hAnsi="PMingLiU"/>
                <w:sz w:val="19"/>
                <w:szCs w:val="19"/>
                <w:color w:val="161616"/>
              </w:rPr>
              <w:t/>
            </w:r>
            <w:r>
              <w:rPr>
                <w:rFonts w:ascii="Arial Narrow" w:cs="Arial Narrow" w:eastAsia="Arial Narrow" w:hAnsi="Arial Narrow"/>
                <w:sz w:val="19"/>
                <w:szCs w:val="19"/>
                <w:color w:val="161616"/>
              </w:rPr>
              <w:t xml:space="preserve"> Annual Meeting of</w:t>
            </w:r>
          </w:p>
        </w:tc>
        <w:tc>
          <w:tcPr>
            <w:tcW w:w="0" w:type="dxa"/>
            <w:vAlign w:val="bottom"/>
          </w:tcPr>
          <w:p>
            <w:pPr>
              <w:spacing w:after="0"/>
              <w:rPr>
                <w:sz w:val="1"/>
                <w:szCs w:val="1"/>
                <w:color w:val="auto"/>
              </w:rPr>
            </w:pPr>
          </w:p>
        </w:tc>
      </w:tr>
      <w:tr>
        <w:trPr>
          <w:trHeight w:val="240"/>
        </w:trPr>
        <w:tc>
          <w:tcPr>
            <w:tcW w:w="2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00" w:type="dxa"/>
            <w:vAlign w:val="bottom"/>
          </w:tcPr>
          <w:p>
            <w:pPr>
              <w:ind w:left="100"/>
              <w:spacing w:after="0"/>
              <w:rPr>
                <w:sz w:val="20"/>
                <w:szCs w:val="20"/>
                <w:color w:val="auto"/>
              </w:rPr>
            </w:pPr>
            <w:r>
              <w:rPr>
                <w:rFonts w:ascii="Arial Narrow" w:cs="Arial Narrow" w:eastAsia="Arial Narrow" w:hAnsi="Arial Narrow"/>
                <w:sz w:val="19"/>
                <w:szCs w:val="19"/>
                <w:color w:val="161616"/>
              </w:rPr>
              <w:t>Stockholders ZLOO Ee held 7XHVGD\,</w:t>
            </w:r>
          </w:p>
        </w:tc>
        <w:tc>
          <w:tcPr>
            <w:tcW w:w="0" w:type="dxa"/>
            <w:vAlign w:val="bottom"/>
          </w:tcPr>
          <w:p>
            <w:pPr>
              <w:spacing w:after="0"/>
              <w:rPr>
                <w:sz w:val="1"/>
                <w:szCs w:val="1"/>
                <w:color w:val="auto"/>
              </w:rPr>
            </w:pPr>
          </w:p>
        </w:tc>
      </w:tr>
      <w:tr>
        <w:trPr>
          <w:trHeight w:val="240"/>
        </w:trPr>
        <w:tc>
          <w:tcPr>
            <w:tcW w:w="2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00" w:type="dxa"/>
            <w:vAlign w:val="bottom"/>
          </w:tcPr>
          <w:p>
            <w:pPr>
              <w:ind w:left="100"/>
              <w:spacing w:after="0"/>
              <w:rPr>
                <w:sz w:val="20"/>
                <w:szCs w:val="20"/>
                <w:color w:val="auto"/>
              </w:rPr>
            </w:pPr>
            <w:r>
              <w:rPr>
                <w:rFonts w:ascii="Arial Narrow" w:cs="Arial Narrow" w:eastAsia="Arial Narrow" w:hAnsi="Arial Narrow"/>
                <w:sz w:val="19"/>
                <w:szCs w:val="19"/>
                <w:color w:val="161616"/>
              </w:rPr>
              <w:t xml:space="preserve">June </w:t>
            </w:r>
            <w:r>
              <w:rPr>
                <w:rFonts w:ascii="PMingLiU" w:cs="PMingLiU" w:eastAsia="PMingLiU" w:hAnsi="PMingLiU"/>
                <w:sz w:val="19"/>
                <w:szCs w:val="19"/>
                <w:color w:val="161616"/>
              </w:rPr>
              <w:t/>
            </w:r>
            <w:r>
              <w:rPr>
                <w:rFonts w:ascii="Arial Narrow" w:cs="Arial Narrow" w:eastAsia="Arial Narrow" w:hAnsi="Arial Narrow"/>
                <w:sz w:val="19"/>
                <w:szCs w:val="19"/>
                <w:color w:val="161616"/>
              </w:rPr>
              <w:t xml:space="preserve"> 20</w:t>
            </w:r>
            <w:r>
              <w:rPr>
                <w:rFonts w:ascii="PMingLiU" w:cs="PMingLiU" w:eastAsia="PMingLiU" w:hAnsi="PMingLiU"/>
                <w:sz w:val="19"/>
                <w:szCs w:val="19"/>
                <w:color w:val="161616"/>
              </w:rPr>
              <w:t/>
            </w:r>
            <w:r>
              <w:rPr>
                <w:rFonts w:ascii="Arial Narrow" w:cs="Arial Narrow" w:eastAsia="Arial Narrow" w:hAnsi="Arial Narrow"/>
                <w:sz w:val="19"/>
                <w:szCs w:val="19"/>
                <w:color w:val="161616"/>
              </w:rPr>
              <w:t xml:space="preserve">, at </w:t>
            </w:r>
            <w:r>
              <w:rPr>
                <w:rFonts w:ascii="PMingLiU" w:cs="PMingLiU" w:eastAsia="PMingLiU" w:hAnsi="PMingLiU"/>
                <w:sz w:val="19"/>
                <w:szCs w:val="19"/>
                <w:color w:val="161616"/>
              </w:rPr>
              <w:t/>
            </w:r>
            <w:r>
              <w:rPr>
                <w:rFonts w:ascii="Arial Narrow" w:cs="Arial Narrow" w:eastAsia="Arial Narrow" w:hAnsi="Arial Narrow"/>
                <w:sz w:val="19"/>
                <w:szCs w:val="19"/>
                <w:color w:val="161616"/>
              </w:rPr>
              <w:t>:00 a.m. Eastern</w:t>
            </w:r>
          </w:p>
        </w:tc>
        <w:tc>
          <w:tcPr>
            <w:tcW w:w="0" w:type="dxa"/>
            <w:vAlign w:val="bottom"/>
          </w:tcPr>
          <w:p>
            <w:pPr>
              <w:spacing w:after="0"/>
              <w:rPr>
                <w:sz w:val="1"/>
                <w:szCs w:val="1"/>
                <w:color w:val="auto"/>
              </w:rPr>
            </w:pPr>
          </w:p>
        </w:tc>
      </w:tr>
      <w:tr>
        <w:trPr>
          <w:trHeight w:val="264"/>
        </w:trPr>
        <w:tc>
          <w:tcPr>
            <w:tcW w:w="2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500" w:type="dxa"/>
            <w:vAlign w:val="bottom"/>
          </w:tcPr>
          <w:p>
            <w:pPr>
              <w:ind w:left="100"/>
              <w:spacing w:after="0"/>
              <w:rPr>
                <w:sz w:val="20"/>
                <w:szCs w:val="20"/>
                <w:color w:val="auto"/>
              </w:rPr>
            </w:pPr>
            <w:r>
              <w:rPr>
                <w:rFonts w:ascii="Arial Narrow" w:cs="Arial Narrow" w:eastAsia="Arial Narrow" w:hAnsi="Arial Narrow"/>
                <w:sz w:val="19"/>
                <w:szCs w:val="19"/>
                <w:color w:val="161616"/>
              </w:rPr>
              <w:t xml:space="preserve">Time </w:t>
            </w:r>
            <w:r>
              <w:rPr>
                <w:rFonts w:ascii="PMingLiU" w:cs="PMingLiU" w:eastAsia="PMingLiU" w:hAnsi="PMingLiU"/>
                <w:sz w:val="19"/>
                <w:szCs w:val="19"/>
                <w:color w:val="161616"/>
              </w:rPr>
              <w:t/>
            </w:r>
            <w:r>
              <w:rPr>
                <w:rFonts w:ascii="Arial Narrow" w:cs="Arial Narrow" w:eastAsia="Arial Narrow" w:hAnsi="Arial Narrow"/>
                <w:sz w:val="19"/>
                <w:szCs w:val="19"/>
                <w:color w:val="161616"/>
              </w:rPr>
              <w:t>at:</w:t>
            </w:r>
          </w:p>
        </w:tc>
        <w:tc>
          <w:tcPr>
            <w:tcW w:w="0" w:type="dxa"/>
            <w:vAlign w:val="bottom"/>
          </w:tcPr>
          <w:p>
            <w:pPr>
              <w:spacing w:after="0"/>
              <w:rPr>
                <w:sz w:val="1"/>
                <w:szCs w:val="1"/>
                <w:color w:val="auto"/>
              </w:rPr>
            </w:pPr>
          </w:p>
        </w:tc>
      </w:tr>
      <w:tr>
        <w:trPr>
          <w:trHeight w:val="456"/>
        </w:trPr>
        <w:tc>
          <w:tcPr>
            <w:tcW w:w="2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00" w:type="dxa"/>
            <w:vAlign w:val="bottom"/>
          </w:tcPr>
          <w:p>
            <w:pPr>
              <w:ind w:left="100"/>
              <w:spacing w:after="0"/>
              <w:rPr>
                <w:sz w:val="20"/>
                <w:szCs w:val="20"/>
                <w:color w:val="auto"/>
              </w:rPr>
            </w:pPr>
            <w:r>
              <w:rPr>
                <w:rFonts w:ascii="Arial Narrow" w:cs="Arial Narrow" w:eastAsia="Arial Narrow" w:hAnsi="Arial Narrow"/>
                <w:sz w:val="19"/>
                <w:szCs w:val="19"/>
                <w:b w:val="1"/>
                <w:bCs w:val="1"/>
                <w:color w:val="161616"/>
              </w:rPr>
              <w:t>Bimini Capital Management, Inc.</w:t>
            </w:r>
          </w:p>
        </w:tc>
        <w:tc>
          <w:tcPr>
            <w:tcW w:w="0" w:type="dxa"/>
            <w:vAlign w:val="bottom"/>
          </w:tcPr>
          <w:p>
            <w:pPr>
              <w:spacing w:after="0"/>
              <w:rPr>
                <w:sz w:val="1"/>
                <w:szCs w:val="1"/>
                <w:color w:val="auto"/>
              </w:rPr>
            </w:pPr>
          </w:p>
        </w:tc>
      </w:tr>
      <w:tr>
        <w:trPr>
          <w:trHeight w:val="240"/>
        </w:trPr>
        <w:tc>
          <w:tcPr>
            <w:tcW w:w="2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00" w:type="dxa"/>
            <w:vAlign w:val="bottom"/>
          </w:tcPr>
          <w:p>
            <w:pPr>
              <w:ind w:left="100"/>
              <w:spacing w:after="0"/>
              <w:rPr>
                <w:sz w:val="20"/>
                <w:szCs w:val="20"/>
                <w:color w:val="auto"/>
              </w:rPr>
            </w:pPr>
            <w:r>
              <w:rPr>
                <w:rFonts w:ascii="Arial Narrow" w:cs="Arial Narrow" w:eastAsia="Arial Narrow" w:hAnsi="Arial Narrow"/>
                <w:sz w:val="19"/>
                <w:szCs w:val="19"/>
                <w:color w:val="161616"/>
              </w:rPr>
              <w:t>3305 Flamingo Drive</w:t>
            </w:r>
          </w:p>
        </w:tc>
        <w:tc>
          <w:tcPr>
            <w:tcW w:w="0" w:type="dxa"/>
            <w:vAlign w:val="bottom"/>
          </w:tcPr>
          <w:p>
            <w:pPr>
              <w:spacing w:after="0"/>
              <w:rPr>
                <w:sz w:val="1"/>
                <w:szCs w:val="1"/>
                <w:color w:val="auto"/>
              </w:rPr>
            </w:pPr>
          </w:p>
        </w:tc>
      </w:tr>
      <w:tr>
        <w:trPr>
          <w:trHeight w:val="264"/>
        </w:trPr>
        <w:tc>
          <w:tcPr>
            <w:tcW w:w="2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500" w:type="dxa"/>
            <w:vAlign w:val="bottom"/>
          </w:tcPr>
          <w:p>
            <w:pPr>
              <w:ind w:left="100"/>
              <w:spacing w:after="0"/>
              <w:rPr>
                <w:sz w:val="20"/>
                <w:szCs w:val="20"/>
                <w:color w:val="auto"/>
              </w:rPr>
            </w:pPr>
            <w:r>
              <w:rPr>
                <w:rFonts w:ascii="Arial Narrow" w:cs="Arial Narrow" w:eastAsia="Arial Narrow" w:hAnsi="Arial Narrow"/>
                <w:sz w:val="19"/>
                <w:szCs w:val="19"/>
                <w:color w:val="161616"/>
              </w:rPr>
              <w:t>Vero Beach, FL 32963</w:t>
            </w:r>
          </w:p>
        </w:tc>
        <w:tc>
          <w:tcPr>
            <w:tcW w:w="0" w:type="dxa"/>
            <w:vAlign w:val="bottom"/>
          </w:tcPr>
          <w:p>
            <w:pPr>
              <w:spacing w:after="0"/>
              <w:rPr>
                <w:sz w:val="1"/>
                <w:szCs w:val="1"/>
                <w:color w:val="auto"/>
              </w:rPr>
            </w:pPr>
          </w:p>
        </w:tc>
      </w:tr>
    </w:tbl>
    <w:p>
      <w:pPr>
        <w:sectPr>
          <w:pgSz w:w="12240" w:h="15840" w:orient="portrait"/>
          <w:cols w:equalWidth="0" w:num="1">
            <w:col w:w="10600"/>
          </w:cols>
          <w:pgMar w:left="820" w:top="1174" w:right="820" w:bottom="1440" w:gutter="0" w:footer="0" w:header="0"/>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4435" cy="98304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0">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3305 FLAMINGO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FFFFF"/>
        </w:rPr>
        <w:t>V E R O  B E A C H ,  F L  3 2 9 6 3</w:t>
      </w:r>
    </w:p>
    <w:sectPr>
      <w:pgSz w:w="12240" w:h="15840" w:orient="portrait"/>
      <w:cols w:equalWidth="0" w:num="1">
        <w:col w:w="9360"/>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swiss"/>
    <w:pitch w:val="variable"/>
    <w:sig w:usb0="FFFFFFFF" w:usb1="E9FFFFFF" w:usb2="0000003F" w:usb3="00000000" w:csb0="603F01FF" w:csb1="FFFF0000"/>
  </w:font>
  <w:font w:name="PMingLiU">
    <w:panose1 w:val="02020500000000000000"/>
    <w:charset w:val="00"/>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200001FF" w:csb1="00000000"/>
  </w:font>
  <w:font w:name="Arial Narrow">
    <w:panose1 w:val="020B0606020202030204"/>
    <w:charset w:val="00"/>
    <w:family w:val="swiss"/>
    <w:pitch w:val="variable"/>
    <w:sig w:usb0="00000287" w:usb1="00000800" w:usb2="00000000" w:usb3="00000000" w:csb0="2000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տ"/>
      <w:numFmt w:val="bullet"/>
      <w:start w:val="1"/>
    </w:lvl>
    <w:lvl w:ilvl="1">
      <w:lvlJc w:val="left"/>
      <w:lvlText w:val="ց"/>
      <w:numFmt w:val="bullet"/>
      <w:start w:val="1"/>
    </w:lvl>
  </w:abstractNum>
  <w:abstractNum w:abstractNumId="1">
    <w:nsid w:val="257130A3"/>
    <w:multiLevelType w:val="hybridMultilevel"/>
    <w:lvl w:ilvl="0">
      <w:lvlJc w:val="left"/>
      <w:lvlText w:val="(%1)"/>
      <w:numFmt w:val="lowerLetter"/>
      <w:start w:val="1"/>
    </w:lvl>
  </w:abstractNum>
  <w:abstractNum w:abstractNumId="2">
    <w:nsid w:val="62BBD95A"/>
    <w:multiLevelType w:val="hybridMultilevel"/>
    <w:lvl w:ilvl="0">
      <w:lvlJc w:val="left"/>
      <w:lvlText w:val="Ɣ"/>
      <w:numFmt w:val="bullet"/>
      <w:start w:val="1"/>
    </w:lvl>
  </w:abstractNum>
  <w:abstractNum w:abstractNumId="3">
    <w:nsid w:val="436C6125"/>
    <w:multiLevelType w:val="hybridMultilevel"/>
    <w:lvl w:ilvl="0">
      <w:lvlJc w:val="left"/>
      <w:lvlText w:val="Ɣ"/>
      <w:numFmt w:val="bullet"/>
      <w:start w:val="1"/>
    </w:lvl>
  </w:abstractNum>
  <w:abstractNum w:abstractNumId="4">
    <w:nsid w:val="628C895D"/>
    <w:multiLevelType w:val="hybridMultilevel"/>
    <w:lvl w:ilvl="0">
      <w:lvlJc w:val="left"/>
      <w:lvlText w:val="Ɣ"/>
      <w:numFmt w:val="bullet"/>
      <w:start w:val="1"/>
    </w:lvl>
  </w:abstractNum>
  <w:abstractNum w:abstractNumId="5">
    <w:nsid w:val="333AB105"/>
    <w:multiLevelType w:val="hybridMultilevel"/>
    <w:lvl w:ilvl="0">
      <w:lvlJc w:val="left"/>
      <w:lvlText w:val="Ɣ"/>
      <w:numFmt w:val="bullet"/>
      <w:start w:val="1"/>
    </w:lvl>
  </w:abstractNum>
  <w:abstractNum w:abstractNumId="6">
    <w:nsid w:val="721DA317"/>
    <w:multiLevelType w:val="hybridMultilevel"/>
    <w:lvl w:ilvl="0">
      <w:lvlJc w:val="left"/>
      <w:lvlText w:val="Ɣ"/>
      <w:numFmt w:val="bullet"/>
      <w:start w:val="1"/>
    </w:lvl>
  </w:abstractNum>
  <w:abstractNum w:abstractNumId="7">
    <w:nsid w:val="2443A858"/>
    <w:multiLevelType w:val="hybridMultilevel"/>
    <w:lvl w:ilvl="0">
      <w:lvlJc w:val="left"/>
      <w:lvlText w:val="Ɣ"/>
      <w:numFmt w:val="bullet"/>
      <w:start w:val="1"/>
    </w:lvl>
  </w:abstractNum>
  <w:abstractNum w:abstractNumId="8">
    <w:nsid w:val="2D1D5AE9"/>
    <w:multiLevelType w:val="hybridMultilevel"/>
    <w:lvl w:ilvl="0">
      <w:lvlJc w:val="left"/>
      <w:lvlText w:val="Ɣ"/>
      <w:numFmt w:val="bullet"/>
      <w:start w:val="1"/>
    </w:lvl>
  </w:abstractNum>
  <w:abstractNum w:abstractNumId="9">
    <w:nsid w:val="6763845E"/>
    <w:multiLevelType w:val="hybridMultilevel"/>
    <w:lvl w:ilvl="0">
      <w:lvlJc w:val="left"/>
      <w:lvlText w:val="Ɣ"/>
      <w:numFmt w:val="bullet"/>
      <w:start w:val="1"/>
    </w:lvl>
  </w:abstractNum>
  <w:abstractNum w:abstractNumId="10">
    <w:nsid w:val="75A2A8D4"/>
    <w:multiLevelType w:val="hybridMultilevel"/>
    <w:lvl w:ilvl="0">
      <w:lvlJc w:val="left"/>
      <w:lvlText w:val="Ɣ"/>
      <w:numFmt w:val="bullet"/>
      <w:start w:val="1"/>
    </w:lvl>
  </w:abstractNum>
  <w:abstractNum w:abstractNumId="11">
    <w:nsid w:val="8EDBDAB"/>
    <w:multiLevelType w:val="hybridMultilevel"/>
    <w:lvl w:ilvl="0">
      <w:lvlJc w:val="left"/>
      <w:lvlText w:val="Ɣ"/>
      <w:numFmt w:val="bullet"/>
      <w:start w:val="1"/>
    </w:lvl>
  </w:abstractNum>
  <w:abstractNum w:abstractNumId="12">
    <w:nsid w:val="79838CB2"/>
    <w:multiLevelType w:val="hybridMultilevel"/>
    <w:lvl w:ilvl="0">
      <w:lvlJc w:val="left"/>
      <w:lvlText w:val="Ɣ"/>
      <w:numFmt w:val="bullet"/>
      <w:start w:val="1"/>
    </w:lvl>
  </w:abstractNum>
  <w:abstractNum w:abstractNumId="13">
    <w:nsid w:val="4353D0CD"/>
    <w:multiLevelType w:val="hybridMultilevel"/>
    <w:lvl w:ilvl="0">
      <w:lvlJc w:val="left"/>
      <w:lvlText w:val="Ɣ"/>
      <w:numFmt w:val="bullet"/>
      <w:start w:val="1"/>
    </w:lvl>
  </w:abstractNum>
  <w:abstractNum w:abstractNumId="14">
    <w:nsid w:val="B03E0C6"/>
    <w:multiLevelType w:val="hybridMultilevel"/>
    <w:lvl w:ilvl="0">
      <w:lvlJc w:val="left"/>
      <w:lvlText w:val="Ɣ"/>
      <w:numFmt w:val="bullet"/>
      <w:start w:val="1"/>
    </w:lvl>
  </w:abstractNum>
  <w:abstractNum w:abstractNumId="15">
    <w:nsid w:val="189A769B"/>
    <w:multiLevelType w:val="hybridMultilevel"/>
    <w:lvl w:ilvl="0">
      <w:lvlJc w:val="left"/>
      <w:lvlText w:val="Ɣ"/>
      <w:numFmt w:val="bullet"/>
      <w:start w:val="1"/>
    </w:lvl>
    <w:lvl w:ilvl="1">
      <w:lvlJc w:val="left"/>
      <w:lvlText w:val="Ɣ"/>
      <w:numFmt w:val="bullet"/>
      <w:start w:val="1"/>
    </w:lvl>
  </w:abstractNum>
  <w:abstractNum w:abstractNumId="16">
    <w:nsid w:val="54E49EB4"/>
    <w:multiLevelType w:val="hybridMultilevel"/>
    <w:lvl w:ilvl="0">
      <w:lvlJc w:val="left"/>
      <w:lvlText w:val="Ɣ"/>
      <w:numFmt w:val="bullet"/>
      <w:start w:val="1"/>
    </w:lvl>
  </w:abstractNum>
  <w:abstractNum w:abstractNumId="17">
    <w:nsid w:val="71F32454"/>
    <w:multiLevelType w:val="hybridMultilevel"/>
    <w:lvl w:ilvl="0">
      <w:lvlJc w:val="left"/>
      <w:lvlText w:val="Ɣ"/>
      <w:numFmt w:val="bullet"/>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Ɣ"/>
      <w:numFmt w:val="bullet"/>
      <w:start w:val="1"/>
    </w:lvl>
  </w:abstractNum>
  <w:abstractNum w:abstractNumId="22">
    <w:nsid w:val="8138641"/>
    <w:multiLevelType w:val="hybridMultilevel"/>
    <w:lvl w:ilvl="0">
      <w:lvlJc w:val="left"/>
      <w:lvlText w:val="Ɣ"/>
      <w:numFmt w:val="bullet"/>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Ɣ"/>
      <w:numFmt w:val="bullet"/>
      <w:start w:val="1"/>
    </w:lvl>
  </w:abstractNum>
  <w:abstractNum w:abstractNumId="27">
    <w:nsid w:val="22221A70"/>
    <w:multiLevelType w:val="hybridMultilevel"/>
    <w:lvl w:ilvl="0">
      <w:lvlJc w:val="left"/>
      <w:lvlText w:val="Ɣ"/>
      <w:numFmt w:val="bullet"/>
      <w:start w:val="1"/>
    </w:lvl>
  </w:abstractNum>
  <w:abstractNum w:abstractNumId="28">
    <w:nsid w:val="4516DDE9"/>
    <w:multiLevelType w:val="hybridMultilevel"/>
    <w:lvl w:ilvl="0">
      <w:lvlJc w:val="left"/>
      <w:lvlText w:val="Ɣ"/>
      <w:numFmt w:val="bullet"/>
      <w:start w:val="1"/>
    </w:lvl>
  </w:abstractNum>
  <w:abstractNum w:abstractNumId="29">
    <w:nsid w:val="3006C83E"/>
    <w:multiLevelType w:val="hybridMultilevel"/>
    <w:lvl w:ilvl="0">
      <w:lvlJc w:val="left"/>
      <w:lvlText w:val="Ɣ"/>
      <w:numFmt w:val="bullet"/>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Ɣ"/>
      <w:numFmt w:val="bullet"/>
      <w:start w:val="1"/>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Ɣ"/>
      <w:numFmt w:val="bullet"/>
      <w:start w:val="1"/>
    </w:lvl>
  </w:abstractNum>
  <w:abstractNum w:abstractNumId="35">
    <w:nsid w:val="3804823E"/>
    <w:multiLevelType w:val="hybridMultilevel"/>
    <w:lvl w:ilvl="0">
      <w:lvlJc w:val="left"/>
      <w:lvlText w:val="%1."/>
      <w:numFmt w:val="lowerLetter"/>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2026-04-27T08:17:07Z</dcterms:created>
  <dcterms:modified xsi:type="dcterms:W3CDTF">2026-04-27T08:17:07Z</dcterms:modified>
</cp:coreProperties>
</file>