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2026</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001-32171</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72-1571637</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780" w:space="720"/>
            <w:col w:w="2840" w:space="720"/>
            <w:col w:w="3180"/>
          </w:cols>
          <w:pgMar w:left="320" w:top="441" w:right="339" w:bottom="1440" w:gutter="0" w:footer="0" w:header="0"/>
          <w:type w:val="continuous"/>
        </w:sectPr>
      </w:pPr>
    </w:p>
    <w:p>
      <w:pPr>
        <w:spacing w:after="0" w:line="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3305 Flamingo Drive, Vero Beach, Florida 32963</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441"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(772) 231-1400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ind w:left="3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At the annual meeting of stockholders of Bimini Capital Management, Inc. (the “Company”) held on June 9, 2026 (the “Annual Meeting”), the stockholders voted on the following matters: (i) the election of one Class II director, (ii) the ratification of the appointment of BDO USA, P.C. as the Company’s independent registered public accounting firm for the year ending December 31, 2026, (iii) the approval of the First Amendment to the Company’s Rights Agreement, and (iv) the approval, on a non-binding advisory basis, of the Company’s 2025 executive compensation. As of April 16, 2026, the record date for the Annual Meeting, there were 10,034,668 shares of common stock outstanding and entitled to vote. The results of the matters voted on at the Annual Meeting are set forth below:</w:t>
      </w:r>
    </w:p>
    <w:p>
      <w:pPr>
        <w:spacing w:after="0" w:line="187" w:lineRule="exact"/>
        <w:rPr>
          <w:sz w:val="20"/>
          <w:szCs w:val="20"/>
          <w:color w:val="auto"/>
        </w:rPr>
      </w:pPr>
    </w:p>
    <w:p>
      <w:pPr>
        <w:ind w:left="300" w:right="320"/>
        <w:spacing w:after="0" w:line="282" w:lineRule="auto"/>
        <w:rPr>
          <w:sz w:val="20"/>
          <w:szCs w:val="20"/>
          <w:color w:val="auto"/>
        </w:rPr>
      </w:pPr>
      <w:r>
        <w:rPr>
          <w:rFonts w:ascii="Times New Roman" w:cs="Times New Roman" w:eastAsia="Times New Roman" w:hAnsi="Times New Roman"/>
          <w:sz w:val="18"/>
          <w:szCs w:val="18"/>
          <w:color w:val="auto"/>
        </w:rPr>
        <w:t>Proposal 1— Election of one Class II Director. Based on the results presented below, Mr. Robert E. Cauley was elected to our Board of Directors to serve until the 2029 annual meeting of the Company’s stockholders and until his successor is duly elected and qualified: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 for Director</w:t>
            </w:r>
          </w:p>
        </w:tc>
        <w:tc>
          <w:tcPr>
            <w:tcW w:w="3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Cauley</w:t>
            </w:r>
          </w:p>
        </w:tc>
        <w:tc>
          <w:tcPr>
            <w:tcW w:w="3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4,126,106</w:t>
            </w:r>
          </w:p>
        </w:tc>
        <w:tc>
          <w:tcPr>
            <w:tcW w:w="1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1,030,609</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7,589</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2,266,224</w:t>
            </w: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Proposal 2 — Ratification of Appointment of Independent Registered Public Accounting Firm. This proposal was ratified upon the following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1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4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7,408,328</w:t>
            </w:r>
          </w:p>
        </w:tc>
        <w:tc>
          <w:tcPr>
            <w:tcW w:w="28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14,646</w:t>
            </w:r>
          </w:p>
        </w:tc>
        <w:tc>
          <w:tcPr>
            <w:tcW w:w="27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7,554</w:t>
            </w:r>
          </w:p>
        </w:tc>
        <w:tc>
          <w:tcPr>
            <w:tcW w:w="31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Proposal 3 — Approval of First Amendment to the Company's Rights Agreement. This proposal was approved upon the following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0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8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1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4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4,139,041</w:t>
            </w:r>
          </w:p>
        </w:tc>
        <w:tc>
          <w:tcPr>
            <w:tcW w:w="29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1,016,742</w:t>
            </w:r>
          </w:p>
        </w:tc>
        <w:tc>
          <w:tcPr>
            <w:tcW w:w="26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8,521</w:t>
            </w:r>
          </w:p>
        </w:tc>
        <w:tc>
          <w:tcPr>
            <w:tcW w:w="3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2,266,224</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Proposal 4 — Advisory Vote on 2025 Executive Compensation. This advisory vote was approved upon the following vote.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0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1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34"/>
        </w:trPr>
        <w:tc>
          <w:tcPr>
            <w:tcW w:w="25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4,120,960</w:t>
            </w:r>
          </w:p>
        </w:tc>
        <w:tc>
          <w:tcPr>
            <w:tcW w:w="29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1,035,071</w:t>
            </w:r>
          </w:p>
        </w:tc>
        <w:tc>
          <w:tcPr>
            <w:tcW w:w="26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8,273</w:t>
            </w:r>
          </w:p>
        </w:tc>
        <w:tc>
          <w:tcPr>
            <w:tcW w:w="3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2,266,224</w:t>
            </w:r>
          </w:p>
        </w:tc>
      </w:tr>
      <w:tr>
        <w:trPr>
          <w:trHeight w:val="556"/>
        </w:trPr>
        <w:tc>
          <w:tcPr>
            <w:tcW w:w="25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ind w:left="1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162"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7"/>
          <w:szCs w:val="17"/>
          <w:color w:val="auto"/>
        </w:rPr>
        <w:t>BIMINI CAPITAL MANAGEMENT, INC.</w:t>
      </w: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Robert E. 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Robert E. Cauley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Chairman and Chief Executive Officer</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2026-06-09T16:11:22Z</dcterms:created>
  <dcterms:modified xsi:type="dcterms:W3CDTF">2026-06-09T16:11:22Z</dcterms:modified>
</cp:coreProperties>
</file>